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BG.2013.29 vom 24. Januar 2014</w:t>
      </w:r>
    </w:p>
    <w:p>
      <w:r>
        <w:t>Bundesstrafgericht, 2014-01-24, DE</w:t>
      </w:r>
    </w:p>
    <w:p>
      <w:r>
        <w:rPr>
          <w:b/>
        </w:rPr>
        <w:t xml:space="preserve">Quelle: </w:t>
      </w:r>
      <w:r>
        <w:t>https://mcp.opencaselaw.ch/entscheid/bstger_BG.2013.29</w:t>
      </w:r>
    </w:p>
    <w:p>
      <w:r>
        <w:t>FR: TPF BG.2013.29 du 24 janvier 2014</w:t>
      </w:r>
    </w:p>
    <w:p>
      <w:r>
        <w:t>IT: TPF BG.2013.29 del 24 gennaio 2014</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 ren können (Art. 41 Abs. 2 Satz 1 StPO i.V.m. Art. 37 Abs. 1 StBOG);</w:t>
      </w:r>
    </w:p>
    <w:p>
      <w:r>
        <w:t>- Art. 32 Abs. 1 StPO folgendes sagt: "Für die Verfolgung und Beurteilung einer Straftat sind die Behörden des Ortes zuständig, an dem die Tat ver-</w:t>
      </w:r>
    </w:p>
    <w:p>
      <w:r>
        <w:t>- 3 -</w:t>
      </w:r>
    </w:p>
    <w:p>
      <w:r>
        <w:t>übt worden ist. Liegt nur der Ort, an dem der Erfolg der Straftat eingetreten ist, in der Schweiz, so sind die Behörden dieses Ortes zuständig";</w:t>
      </w:r>
    </w:p>
    <w:p>
      <w:r>
        <w:t>- gemäss Art. 217 StGB sich strafbar macht, wer seine familienrechtlichen Unterhalts- oder Unterstützungspflichten nicht erfüllt, obschon er über die Mittel dazu verfügt oder verfügen könnte; besteht die Unterhaltspflicht in ei- ner Geldleistung, so ist der Ausführungsort dort, wo der Gläubiger zur Zeit der Erfüllung seinen Wohnsitz hat (SCHWERI/BÄNZIGER, Interkantonale Gerichtsstandsbestimmung in Strafsachen, 2. Aufl., Bern 2004, N.117 m.w.H.);</w:t>
      </w:r>
    </w:p>
    <w:p>
      <w:r>
        <w:t>- B. in ihrer Anzeige vom 28. Oktober 2013 als Wohnadresse Z. (ZH) ange- geben hat (Verfahrensakten, 1); die StA ZH am 13. Dezember 2013 Aus- kunft bei der Gemeindeverwaltung Z. einholte; die Gemeindeverwaltung bestätigte, dass B. am 1. Oktober 2013 in Z. polizeilich angemeldet war und dies immer noch sei (Verfahrensakten, 6/6);</w:t>
      </w:r>
    </w:p>
    <w:p>
      <w:r>
        <w:t>- somit der Wohnsitz von B. im obgenannten Sinne im vorliegend relevanten Zeitpunkt - Oktober 2013 - in Z. lag; die nicht belegten Behauptungen des Beschwerdeführers – B. arbeite in Y. (TG) und wohne nicht mehr in Z., weswegen ihr Lebensmittelpunkt in Y. liege - dies nicht zu beeinflussen vermögen;</w:t>
      </w:r>
    </w:p>
    <w:p>
      <w:r>
        <w:t>- der Beschwerdeführer zudem geltend macht, er wohne in Y. und der Sitz der kontoführenden Bank seiner Frau sei im Kanton Thurgau (act. 1), was für die Festlegung des Gerichtsstandes jedoch vorliegend irrelevant ist;</w:t>
      </w:r>
    </w:p>
    <w:p>
      <w:r>
        <w:t>- nach dem Gesagten die Beschwerde abzuweisen ist;</w:t>
      </w:r>
    </w:p>
    <w:p>
      <w:r>
        <w:t>- bei diesem Ausgang des Verfahrens die Gerichtskosten dem Beschwerde- führer aufzuerlegen sind (Art. 428 Abs. 1 StPO);</w:t>
      </w:r>
    </w:p>
    <w:p>
      <w:r>
        <w:t>- die Gerichtsgebühr auf Fr. 800.-- festzusetzen ist (Art. 73 StBOG sowie Art. 5 und Art. 8 Abs. 1 des Reglements des Bundesstrafgerichts vom 31. August 2010 über die Kosten, Gebühren und Entschädigungen in Bun- 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