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BG.2013.17 vom 13. August 2013</w:t>
      </w:r>
    </w:p>
    <w:p>
      <w:r>
        <w:t>Bundesstrafgericht, 2013-08-13, DE</w:t>
      </w:r>
    </w:p>
    <w:p>
      <w:r>
        <w:rPr>
          <w:b/>
        </w:rPr>
        <w:t xml:space="preserve">Quelle: </w:t>
      </w:r>
      <w:r>
        <w:t>https://mcp.opencaselaw.ch/entscheid/bstger_BG.2013.17</w:t>
      </w:r>
    </w:p>
    <w:p>
      <w:r>
        <w:t>FR: TPF BG.2013.17 du 13 août 2013</w:t>
      </w:r>
    </w:p>
    <w:p>
      <w:r>
        <w:t>IT: TPF BG.2013.17 del 13 agosto 2013</w:t>
      </w:r>
    </w:p>
    <w:p>
      <w:pPr>
        <w:pStyle w:val="Heading2"/>
      </w:pPr>
      <w:r>
        <w:t>Regeste</w:t>
      </w:r>
    </w:p>
    <w:p>
      <w:r>
        <w:t>Anfechtung des Gerichtsstands (Art. 41 Abs. 2 StPO).</w:t>
      </w:r>
    </w:p>
    <w:p>
      <w:pPr>
        <w:pStyle w:val="Heading2"/>
      </w:pPr>
      <w:r>
        <w:t>Erwägungen</w:t>
      </w:r>
    </w:p>
    <w:p>
      <w:r>
        <w:rPr>
          <w:b/>
        </w:rPr>
        <w:t>E. 1</w:t>
      </w:r>
    </w:p>
    <w:p>
      <w:r>
        <w:t>Die Parteien des Strafverfahrens können sich innert zehn Tagen bei der Beschwerdekammer des Bundesstrafgerichts gegen die von den beteiligten Staatsanwaltschaften verschiedener Kantone getroffene Entscheidung über den Gerichtsstand beschweren (Art. 41 Abs. 2 i.V.m. Art. 40 Abs. 2 StPO und Art. 37 Abs. 1 StBOG).</w:t>
      </w:r>
    </w:p>
    <w:p>
      <w:r>
        <w:t>Die Übernahmeverfügung vom 27. März 2013 wurde dem Beschwerdefüh- rer am 19. Juni 2013 übergeben. Die Beschwerde vom 28. Juni 2013 er- weist sich somit als fristgerecht. Die übrigen Eintretensvoraussetzungen geben zu keinen Bemerkungen Anlass. Auf die Beschwerde ist demnach einzutreten.</w:t>
      </w:r>
    </w:p>
    <w:p>
      <w:r>
        <w:t>- 5 -</w:t>
      </w:r>
    </w:p>
    <w:p>
      <w:r>
        <w:rPr>
          <w:b/>
        </w:rPr>
        <w:t>E. 2.1</w:t>
      </w:r>
    </w:p>
    <w:p>
      <w:r>
        <w:t>Der Beschwerdeführer macht gegen die Übernahmeverfügung zunächst geltend, dass die Gerichtsstandsfrage mit dem Abschluss der Untersu- chung ende. Die Untersuchung sei mit der schriftlichen Ankündigung des bevorstehenden Abschlusses und der Anzeige der beabsichtigten Verfah- renserledigung abgeschlossen; vorliegend am 20. September 2012, daher mehr als einen Monat vor dem Ersuchen um Verfahrensübernahme der Staatsanwaltschaft des Kantons St. Gallen. Die Übernahme sei damit zu Unrecht erfolgt (act.1, Ziff. 15 und 16).</w:t>
      </w:r>
    </w:p>
    <w:p>
      <w:r>
        <w:rPr>
          <w:b/>
        </w:rPr>
        <w:t>E. 2.2</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wurden (Art. 34 Abs. 1 StPO). Gemäss Art. 34 Abs. 2 StPO werden die Verfahren getrennt geführt, wenn in einem beteiligten Kanton im Zeitpunkt des Gerichtsstandsverfahrens nach den Art. 39 bis 42 StPO wegen einer anderen Straftat schon Anklage erhoben wurde.</w:t>
      </w:r>
    </w:p>
    <w:p>
      <w:r>
        <w:t>Mit Beschluss des Bundesstrafgerichts BG.2012.24 vom 18. Oktober 2012 hat die Beschwerdekammer in Bezug auf Art. 34 Abs. 2 StPO entschieden, dass ein Gerichtsstandsverfahren spätestens beim Übernahmeantrag als angehoben gilt und unter Anklageerhebung der Eingang der Anklage beim erstinstanzlichen Gericht zu verstehen ist (Beschluss des Bundesstrafge- richts BG.2012.24 vom 18. Oktober 2012 E. 3).</w:t>
      </w:r>
    </w:p>
    <w:p>
      <w:r>
        <w:rPr>
          <w:b/>
        </w:rPr>
        <w:t>E. 2.3</w:t>
      </w:r>
    </w:p>
    <w:p>
      <w:r>
        <w:t>Die StA/SG ersuchte die StA/SZ mit Schreiben vom 29. Oktober 2012 um Verfahrensübernahme. Die Anklageerhebung der StA/SZ erfolgte am 27. Mai 2013 und somit nach Einleitung des Gerichtsstandsverfahrens. Folglich erfolgte die Verfahrensübernahme der StA/SZ – entgegen der Be- hauptung des Beschwerdeführers – nicht unter Verletzung der Bestimmung von Art. 34 Abs. 2 StPO. Die diesbezügliche Rüge des Beschwerdeführers stösst somit ins Leere.</w:t>
      </w:r>
    </w:p>
    <w:p>
      <w:r>
        <w:rPr>
          <w:b/>
        </w:rPr>
        <w:t>E. 2.4</w:t>
      </w:r>
    </w:p>
    <w:p>
      <w:r>
        <w:t>Der Beschwerdeführer rügt, die Übernahme mache keinen Sinn mehr, da im Verfahren gegen ihn wegen Vergewaltigung etc. bereits Anklage erho- ben worden sei, und das zuständige Gericht im Kanton Schwyz kaum auf den Abschluss der Untersuchung wegen Betrugs warten werde (act.1, Ziff. 17).</w:t>
      </w:r>
    </w:p>
    <w:p>
      <w:r>
        <w:t>- 6 -</w:t>
      </w:r>
    </w:p>
    <w:p>
      <w:r>
        <w:rPr>
          <w:b/>
        </w:rPr>
        <w:t>E. 2.5</w:t>
      </w:r>
    </w:p>
    <w:p>
      <w:r>
        <w:t>Betreffend Art. 34 StPO gilt der Grundsatz, dass alle Straftaten eines Tä- ters gemeinsam verfolgt und beurteilt werden sollen (siehe FIN- GERHUTH/LIEBER, Kommentar zur Schweizerischen Strafprozessordnung [StPO], Zürich/Basel/Genf 2010, Art. 34 StPO N. 1).</w:t>
      </w:r>
    </w:p>
    <w:p>
      <w:r>
        <w:rPr>
          <w:b/>
        </w:rPr>
        <w:t>E. 2.6</w:t>
      </w:r>
    </w:p>
    <w:p>
      <w:r>
        <w:t>Dem Beschwerdeführer ist zunächst entgegenzuhalten, dass Übernahme- verfügungen ex ante - d.h. aufgrund der Aktenlage im Moment ihrer Fäl- lung - zu beurteilen sind (vgl. Art. 42 Abs. 3 StPO e contrario; nicht von un- gefähr ist eine nachträgliche Änderung im Sinne von Art. 42 Abs. 3 StPO nur aus neuen wichtigen Gründen möglich) und die vorliegende Übernah- meverfügung zum Zeitpunkt ihres Erlasses im Einklang mit den anzuwen- den Bestimmungen erfolgte (s. supra 2.3). Doch auch aus heutiger Sicht ist diese nicht zu beanstanden, will doch der oben zitierte Grundsatz nicht nur die Beurteilung durch das gleiche Gericht gewährleisten, sondern auch die Verfolgung durch die gleiche Staatsanwaltschaft. Dies wurde vorliegend durch die angefochtene Übernahme sichergestellt; die StA/SZ führt beide vorliegend zur Diskussion stehenden Strafuntersuchungen. Betreffend die bei der Firma B. begangenen Straftaten hat sie am 19. Juni 2013 eine Hausdurchsuchung durchgeführt.</w:t>
      </w:r>
    </w:p>
    <w:p>
      <w:r>
        <w:t>Weiter ist zu beachten, dass die Staatsanwaltschaft, welche ein Verfahren gestützt auf Art. 34 StPO übernommen hat, nach Abschluss der Strafunter- suchung nicht in jedem Fall verpflichtet ist, die auf verschiedenen Sachver- halten beruhenden Untersuchungen gemeinsam beim erstinstanzlichen Gericht anzuklagen. Insbesondere können verjährungsrechtliche Fragen oder die Komplexität eines Falles die Trennung der Strafverfahren gebieten (vgl. im Allgemeinen Art. 30 StPO und BARTEZKO, Basler Kommentar, Ba- sel 2011, Art. 30 StPO N. 30 ff.).</w:t>
      </w:r>
    </w:p>
    <w:p>
      <w:r>
        <w:rPr>
          <w:b/>
        </w:rPr>
        <w:t>E. 3</w:t>
      </w:r>
    </w:p>
    <w:p>
      <w:r>
        <w:t>Indem der Beschwerdeführer ein Gesuch um Beizug sämtlicher, im Zu- sammenhang mit vorliegendem Gerichtsstandsverfahren stehender Straf- akten stellt, verkennt er, dass es ihm obliegt, die für die Gerichtsstandsbestimmung wesentlichen Akten paginiert und zweckmässig geordnet in einem separaten Dossier der Beschwerde beizulegen (vgl. SCHWERI/BÄNZIGER, Interkantonale Gerichtsstandsbestimmung in Strafsa- chen, 2. Aufl., Bern 2004, N. 632). Vorliegend ist zudem nicht ersichtlich, was der beantragte Beizug zum Verfahren beitragen könnte. Das Gesuch um Aktenbeizug ist abzuweisen.</w:t>
      </w:r>
    </w:p>
    <w:p>
      <w:r>
        <w:rPr>
          <w:b/>
        </w:rPr>
        <w:t>E. 4</w:t>
      </w:r>
    </w:p>
    <w:p>
      <w:r>
        <w:t>Nach dem Gesagten erweist sich die Beschwerde als gesamthaft unbe- gründet und ist abzuweisen.</w:t>
      </w:r>
    </w:p>
    <w:p>
      <w:r>
        <w:t>- 7 -</w:t>
      </w:r>
    </w:p>
    <w:p>
      <w:r>
        <w:rPr>
          <w:b/>
        </w:rPr>
        <w:t>E. 5</w:t>
      </w:r>
    </w:p>
    <w:p>
      <w:r>
        <w:t>Bei diesem Ausgang des Verfahrens hat der Beschwerdeführer die Ge- richtskosten zu tragen (Art. 428 Abs. 1 StPO). Die Gerichtsgebühr ist auf Fr. 1'500.-- festzusetzen (Art. 73 StBOG i.V.m. Art. 5 und 8 Abs. 1 des Reg- 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