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BG.2013.14 vom 15. August 2013</w:t>
      </w:r>
    </w:p>
    <w:p>
      <w:r>
        <w:t>Bundesstrafgericht, 2013-08-15, FR</w:t>
      </w:r>
    </w:p>
    <w:p>
      <w:r>
        <w:rPr>
          <w:b/>
        </w:rPr>
        <w:t xml:space="preserve">Quelle: </w:t>
      </w:r>
      <w:r>
        <w:t>https://mcp.opencaselaw.ch/entscheid/bstger_BG.2013.14</w:t>
      </w:r>
    </w:p>
    <w:p>
      <w:r>
        <w:t>FR: TPF BG.2013.14 du 15 août 2013</w:t>
      </w:r>
    </w:p>
    <w:p>
      <w:r>
        <w:t>IT: TPF BG.2013.14 del 15 agosto 2013</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 sur l’organisation des autorités pénales de la Confédération [LOAP; RS 173.71] et l’art. 19 al. 1 du règlement du 31 août 2010 sur l’organisation du Tribunal pénal fédéral [ROTPF; RS 173.713.161]). La condition préalable pour la saisine de la Cour des plaintes consiste cependant dans le fait qu’un échange de vues ait eu lieu entre les cantons concernés (SCHWERI/BÄNZIGER, Interkantonale Gerichtsstandsbestimmung in Strafsachen, 2e éd., Berne 2004, n° 599). S’agissant du délai dans lequel l’autorité requérante doit saisir la Cour de céans, il a été décidé de s’en tenir aux dix jours prévus à l’art. 396 al. 1 CPP, exception faite du cas dans lequel l’autorité requérante invoque des circonstances exceptionnelles qu’il lui incombe de spécifier (v. notamment décisions du Tribunal pénal fédéral BG.2011.17 du 15 juillet 2011, consid. 2.1; BG.2011.7 du 17 juin 2011, consid. 2.2). La détermination des autorités qui sont légitimées à représenter leur canton dans le cadre de l’échange de vues ou dans la procédure devant la Cour des plaintes se fait en fonction de la législation de chaque canton (art. 14 al. 4 CPP; KUHN, Commentaire bâlois, Schweizerische Strafprozessordnung [Commentaire</w:t>
      </w:r>
    </w:p>
    <w:p>
      <w:r>
        <w:t>- 4 -</w:t>
      </w:r>
    </w:p>
    <w:p>
      <w:r>
        <w:t>StPO], Bâle 2011, n° 9 ad art. 39 et n° 10 ad art. 40; SCHMID, Handbuch des schweizerischen Strafprozessrechts, Zurich/Saint-Gall 2009, n° 488).</w:t>
      </w:r>
    </w:p>
    <w:p>
      <w:r>
        <w:rPr>
          <w:b/>
        </w:rPr>
        <w:t>E. 1.2</w:t>
      </w:r>
    </w:p>
    <w:p>
      <w:r>
        <w:t>L’échange de vues a été correctement effectué. Les autorités cantonales précitées sont légitimées à représenter leur canton dans des contestations de for intercantonales en matière pénale. Les autres conditions de recevabilité sont en l’occurrence réalisées.</w:t>
      </w:r>
    </w:p>
    <w:p>
      <w:r>
        <w:rPr>
          <w:b/>
        </w:rPr>
        <w:t>E. 1.3</w:t>
      </w:r>
    </w:p>
    <w:p>
      <w:r>
        <w:t>Il y a lieu d’entrer en matière sur la requête en modification du for.</w:t>
      </w:r>
    </w:p>
    <w:p>
      <w:r>
        <w:rPr>
          <w:b/>
        </w:rPr>
        <w:t>E. 2</w:t>
      </w:r>
    </w:p>
    <w:p>
      <w:r>
        <w:t>Le MP-VD demande en substance à ce que le for soit modifié en faveur du MP-ZH. Cette demande est basée sur la découverte du cheminement des fonds investis par les plaignants. Le MP-VD soutient ainsi que ces fonds auraient abouti sur un fonds dont la banque dépositaire est la banque C. sise dans le canton de Zurich.</w:t>
      </w:r>
    </w:p>
    <w:p>
      <w:r>
        <w:rPr>
          <w:b/>
        </w:rPr>
        <w:t>E. 2.1</w:t>
      </w:r>
    </w:p>
    <w:p>
      <w:r>
        <w:t>A teneur de l’art. 42 al. 3 CPP, le for ne peut être modifié que pour de nouveaux justes motifs, comparables à des motifs de révision (PIQUEREZ/MACALUSO, Procédure pénale suisse, 3e éd., Genève/Zurich/ Bâle 2011, n° 389; voir aussi SCHWERI/BÄNZIGER, Interkantonale Gerichtsstandsbestimmung in Strafsachen, 2e éd., Berne 2004, n° 455). Une telle éventualité doit demeurer exceptionnelle (KUHN, in Commentaire StPO, n° 8 ad art. 42; voir aussi arrêt du Tribunal pénal fédéral BG.2005.30 du 26 janvier 2006, consid. 3.2).</w:t>
      </w:r>
    </w:p>
    <w:p>
      <w:r>
        <w:rPr>
          <w:b/>
        </w:rPr>
        <w:t>E. 2.2</w:t>
      </w:r>
    </w:p>
    <w:p>
      <w:r>
        <w:t>En date du 10 décembre 2012, le MP-VD a accepté sa compétence pour poursuivre et juger les faits mentionnés dans les différentes plaintes, de sorte qu'il y a lieu de considérer qu'un accord est intervenu entre les cantons concernés sur la question du for (art. 39 al. 2 CPP). Dans sa requête du 31 mai 2013, le MP-VD n'invoque aucun élément nouveau qui pourrait être pris en compte. Comme cela est ressorti de leurs plaintes, les sommes investies par les plaignants ont été virées sur des comptes ouverts en Suisse auprès de la banque B. dont le siège est à Z. et sur lesquels A. AG dispose de mandats de gestion. Quant à la destination des sommes investies, la situation n’est pas aussi claire que le voudrait le canton requérant puisque, comme l’explique l’autorité zurichoise, selon le dossier (dossier MP-VD, pièce 32/2), la banque C. est dépositaire de D. Ltd seulement depuis octobre 2012 tandis que les investissements paraissent eux antérieurs. Il ressort aussi du dossier remis par le MP-ZH le 16 novembre 2012 et des diverses plaintes que la banque E. notamment était la banque dépositaire du fonds "F". Les éléments invoqués par les autorités vaudoises paraissent donc inexacts et ne sont ainsi pas pertinents.</w:t>
      </w:r>
    </w:p>
    <w:p>
      <w:r>
        <w:t>- 5 -</w:t>
      </w:r>
    </w:p>
    <w:p>
      <w:r>
        <w:t>Quand bien même seraient-ils avérés et nouveaux, les éléments invoqués par le MP-VD ne sauraient constituer de "justes motifs" au sens de l'art. 42 al. 3 CPP évoqué plus haut. En effet, la nécessité de stabilité du for pénal implique qu’une modification du for ne saurait intervenir à chaque fois que l’enquête met en évidence un mouvement des fonds investis par les plaignants.</w:t>
      </w:r>
    </w:p>
    <w:p>
      <w:r>
        <w:rPr>
          <w:b/>
        </w:rPr>
        <w:t>E. 2.3</w:t>
      </w:r>
    </w:p>
    <w:p>
      <w:r>
        <w:t>Ainsi, il n'y a pas lieu de revenir sur la fixation de for intervenue le 10 décembre 2012 d’entente entre les cantons. La requête du MP-VD doit être rejetée.</w:t>
      </w:r>
    </w:p>
    <w:p>
      <w:r>
        <w:rPr>
          <w:b/>
        </w:rPr>
        <w:t>E. 3</w:t>
      </w:r>
    </w:p>
    <w:p>
      <w:r>
        <w:t>Au vu de ce qui précède, les autorités de poursuite pénale du canton de Vaud doivent être déclarées seules compétentes pour poursuivre et juger les infractions mentionnées dans les plaintes déposées à l’encontre des administrateurs de A. AG.</w:t>
      </w:r>
    </w:p>
    <w:p>
      <w:r>
        <w:rPr>
          <w:b/>
        </w:rPr>
        <w:t>E. 4</w:t>
      </w:r>
    </w:p>
    <w:p>
      <w:r>
        <w:t>La présente décision est rendue sans frais (art. 423 al. 1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