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BG.2013.12 vom 15. August 2013</w:t>
      </w:r>
    </w:p>
    <w:p>
      <w:r>
        <w:t>Bundesstrafgericht, 2013-08-15, FR</w:t>
      </w:r>
    </w:p>
    <w:p>
      <w:r>
        <w:rPr>
          <w:b/>
        </w:rPr>
        <w:t xml:space="preserve">Quelle: </w:t>
      </w:r>
      <w:r>
        <w:t>https://mcp.opencaselaw.ch/entscheid/bstger_BG.2013.12</w:t>
      </w:r>
    </w:p>
    <w:p>
      <w:r>
        <w:t>FR: TPF BG.2013.12 du 15 août 2013</w:t>
      </w:r>
    </w:p>
    <w:p>
      <w:r>
        <w:t>IT: TPF BG.2013.12 del 15 agosto 2013</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les art. 37 LOAP et 19 du rè- glement du 31 août 2010 sur l'organisation du Tribunal pénal fédéral [ROTPF; RS 173.713.161]). S'agissant du délai dans lequel l'autorité re- quérante doit saisir la Cour de céans, il a été décidé de s'en tenir aux dix jours prévus à l'art. 396 al. 1 CPP, exception faite du cas dans lequel l'auto- rité requérante invoque des circonstances exceptionnelles qu'il lui incombe de spécifier (v. notamment: arrêts du Tribunal pénal fédéral BG.2011.17 du 15 juillet 2011, consid. 2.1; BG.2011.7 du 17 juin 2011, consid. 2.2). C'est en fonction de la législation de chaque canton que l'on détermine les autori- tés qui sont légitimées à représenter leur canton dans le cadre de l'échan- ge de vues ou dans la procédure devant la Cour des plaintes (art. 14 al. 4 CPP; KUHN, Commentaire bâlois, Schweizerische Strafprozessordnung, no 9 ad art. 39 et no 10 ad art. 40; SCHMID, Handbuch des schweizerischen Strafprozessrechts, Zurich/Saint-Gall 2009, no 488; GALLIANI/MARCELLINI, Codice svizzero di procedura penale [CPP] - Commentario, Zurich/Saint- Gall 2010, no 5 ad art. 40 CPP).</w:t>
      </w:r>
    </w:p>
    <w:p>
      <w:r>
        <w:rPr>
          <w:b/>
        </w:rPr>
        <w:t>E. 1.2</w:t>
      </w:r>
    </w:p>
    <w:p>
      <w:r>
        <w:t>La demande de fixation de for a été déposée dans le délai mentionné préci- té (supra consid. 1.1). Les cantons ont été représentés par des autorités légitimées à le faire. Certes, la requête de fixation de for a été déposée par le MP-FR, alors que ce canton ne semble pas avoir été saisi en premier de la cause (art. 40 al. 2 CPP), toutefois, cela ne saurait avoir d'incidence (BERTOSSA, Commentaire CPP, Bâle 2011, no 3 ad art. 40). Il y a donc lieu d'entrer en matière sur le fond de la cause.</w:t>
      </w:r>
    </w:p>
    <w:p>
      <w:r>
        <w:rPr>
          <w:b/>
        </w:rPr>
        <w:t>E. 2</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w:t>
      </w:r>
    </w:p>
    <w:p>
      <w:r>
        <w:t>peine, l'autorité compétente est celle du lieu où les premiers actes de pour- suite ont été entrepris.</w:t>
      </w:r>
    </w:p>
    <w:p>
      <w:r>
        <w:rPr>
          <w:b/>
        </w:rPr>
        <w:t>E. 2.1</w:t>
      </w:r>
    </w:p>
    <w:p>
      <w:r>
        <w:t>En l'espèce, les prévenus A. et B. sont soupçonnés d'avoir commis plu- sieurs vols selon le même modus operandi - en se faisant passer pour de faux plombiers - dans différents cantons, principalement en Suisse roman- de. Au vu du dossier, les premiers actes de poursuite ont été entrepris le 25 janvier 2010 à Neuchâtel. Dans la mesure où les infractions reprochées aux prévenus sont punies de la même peine, l'application des règles du CPP rappelées au paragraphe précédent en matière de fixation de for plai- derait pour que l'autorité compétente soit celle de ce dernier canton.</w:t>
      </w:r>
    </w:p>
    <w:p>
      <w:r>
        <w:rPr>
          <w:b/>
        </w:rPr>
        <w:t>E. 2.2</w:t>
      </w:r>
    </w:p>
    <w:p>
      <w:r>
        <w:t>Toutefois, les autorités neuchâteloises, saisies de cinq cas concernant A. et B., invoquent l'opportunité fondée sur la part prépondérante de l'activité délictueuse dans le canton de Vaud, sur le territoire duquel 20 cas impli- quant les prévenus ont pu être recensés. Elles suggèrent sur cette base une dérogation aux règles légales, considération qu'il y a lieu d'examiner.</w:t>
      </w:r>
    </w:p>
    <w:p>
      <w:r>
        <w:rPr>
          <w:b/>
        </w:rPr>
        <w:t>E. 2.2.1</w:t>
      </w:r>
    </w:p>
    <w:p>
      <w:r>
        <w:t>A teneur de l'art. 40 al. 3 CPP, "l'autorité compétente en matière de for peut convenir d'un autre for que celui prévu aux art. 31 à 37 [CPP] lorsque la part prépondérante de l'activité délictueuse, la situation personnelle du pré- venu ou d'autres motifs pertinents l'exigent." Ainsi, la Cour des plaintes peut-elle dans certains cas fixer un autre for que celui prévu par la loi (art. 40 al. 3 CPP; BERTOSSA, op. cit., n° 3 ad art. 38 CPP; FINGER- HUTH/LIEBER, Kommentar zur Schweizerischen Strafprozessordnung [StPO], [Donatsch/Hansjakob/Lieber, éd.], Genève/Zurich/Bâle 2010, n° 15 ad art. 40). L'ensemble de la doctrine ici citée indique qu'un autre choix que le for légal doit être effectué avec retenue, pour des motifs fondés, et non par commodité (décision du Tribunal pénal fédéral BG.2011.32 du 5 avril 2012, consid. 3.1). Ainsi, une telle dérogation au for ordinaire doit rester exceptionnelle, soit uniquement lorsque des motifs pertinents l'exigent. Les réflexions menant à la conclusion que le for ordinaire est inapproprié dans le cas donné doivent s'imposer de manière impérative. Au surplus, une dé- rogation aux règles de for n'est possible qu'en faveur d'un canton disposant d'un critère de rattachement territorial suffisant (décision du Tribunal pénal fédéral BG.2012.15 du 23 mai 2012, consid. 3.1). Une dérogation au for lé- gal peut se justifier lorsque plus des deux tiers des infractions ont été commises dans le même canton (ATF 129 IV 202 consid. 2 et référence ci- tée; arrêt du Tribunal fédéral 8G.39/2003 du 4 avril 2003, consid. 2). Cette règle n'a néanmoins aucun caractère absolu. D'autres critères entrent en effet en ligne de compte (FINGERHUTH/LIEBER, op. cit., n° 17 ad art. 40).</w:t>
      </w:r>
    </w:p>
    <w:p>
      <w:r>
        <w:rPr>
          <w:b/>
        </w:rPr>
        <w:t>E. 2.2.2</w:t>
      </w:r>
    </w:p>
    <w:p>
      <w:r>
        <w:t>En l'espèce ce sont 44 cas, non encore jugés, qui peuvent être retenus à l'encontre des prévenus. Un peu moins de la moitié des infractions concer- nées ont été commises dans le canton de Vaud. Certes, ce dernier a invo- qué que certains des cas qui se sont produits sur son territoire paraissaient difficilement attribuables à la même bande en l'état des indices retenus (classeur du canton de Fribourg act. 9006). Il ne précise cependant pas en quoi, ni de combien de cas il pourrait s'agir. Or, au vu de la répartition des cas concernés (Fribourg: 9; Neuchâtel: 5, Vaud: 20, Berne: 2, Valais: 8) il apparaît que la part prépondérante des infractions commises se situe dans le canton de Vaud, dans lequel les prévenus sont au demeurant domiciliés. Compte tenu de ces éléments, il convient de déroger au for légal et de dé- signer les autorités de poursuite pénale du canton de Vaud comme seules compétentes pour poursuivre et juger les faits dénoncés par le requérant.</w:t>
      </w:r>
    </w:p>
    <w:p>
      <w:r>
        <w:rPr>
          <w:b/>
        </w:rPr>
        <w:t>E. 3</w:t>
      </w:r>
    </w:p>
    <w:p>
      <w:r>
        <w:t>La présente décision est rendue sans frais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