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BG.2012.9 vom 10. Mai 2012</w:t>
      </w:r>
    </w:p>
    <w:p>
      <w:r>
        <w:t>Bundesstrafgericht, 2012-05-10, DE</w:t>
      </w:r>
    </w:p>
    <w:p>
      <w:r>
        <w:rPr>
          <w:b/>
        </w:rPr>
        <w:t xml:space="preserve">Quelle: </w:t>
      </w:r>
      <w:r>
        <w:t>https://mcp.opencaselaw.ch/entscheid/bstger_BG.2012.9</w:t>
      </w:r>
    </w:p>
    <w:p>
      <w:r>
        <w:t>FR: TPF BG.2012.9 du 10 mai 2012</w:t>
      </w:r>
    </w:p>
    <w:p>
      <w:r>
        <w:t>IT: TPF BG.2012.9 del 10 maggio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w:t>
      </w:r>
    </w:p>
    <w:p>
      <w:r>
        <w:t>- 4 -</w:t>
      </w:r>
    </w:p>
    <w:p>
      <w:r>
        <w:t>zuwenden (vgl. hierzu u. a. TPF BG.2011.7 vom 17. Juni 2011 E. 2.2, zur Publikation vorgesehen). Die Behörden, welche berechtigt sind, ihren Kan- 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 LIANI/MARCELLINI, Codice svizzero di procedura penale [CPP] – Commenta- rio, Zurigo/San Gallo 2010, n. 5 ad art. 40 CPP).</w:t>
      </w:r>
    </w:p>
    <w:p>
      <w:r>
        <w:rPr>
          <w:b/>
        </w:rPr>
        <w:t>E. 1.2</w:t>
      </w:r>
    </w:p>
    <w:p>
      <w:r>
        <w:t>Die Oberstaatsanwaltschaft des Kantons Zürich ist berechtigt, den Ge- suchsteller bei interkantonalen Gerichtsstandskonflikten vor der Beschwer- dekammer zu vertreten (§ 107 Abs. 1 lit. b des Gesetzes über die Gerichts- und Behördenorganisation im Zivil- und Strafprozess des Kantons Zürich vom 10. Mai 2010 [GOG/ZH; LS 211.1]). Bezüglich des Gesuchsgegners steht diese Befugnis der Generalstaatsanwaltschaft des Kantons Thurgau zu (§ 31 Abs. 1 des Gesetzes über die Zivil- und Strafrechtspflege des Kan- tons Thurgau vom 17. Juni 2009 [ZSRG/TG; RB 271.1]). Die übrigen Ein- tretensvoraussetzungen geben vorliegend zu keinen weiteren Bemerkun- gen Anlass, weshalb auf das Gesuch einzutreten ist.</w:t>
      </w:r>
    </w:p>
    <w:p>
      <w:r>
        <w:rPr>
          <w:b/>
        </w:rPr>
        <w:t>E. 2</w:t>
      </w:r>
    </w:p>
    <w:p>
      <w:r>
        <w:t>Der gesetzliche Gerichtsstand ist im vorliegenden Gesuchsverfahren zwi- schen den Parteien nicht umstritten (vgl. act. 3, S. 5). Nachdem A. und B. bezüglich des am 5. Oktober 2011 begangenen Diebstahls mittäterschaftli- ches Handeln zur Last gelegt wird, befindet sich der gesetzliche Gerichts- stand zur Verfolgung und Beurteilung aller B. zur Last gelegten Straftaten gestützt auf die Art. 33 Abs. 2 und Art. 34 Abs. 1 StPO im Kanton Thurgau (vgl. zum Zusammenspiel von Art. 33 Abs. 2 und Art. 34 Abs. 1 StPO zu- letzt den Beschluss des Bundesstrafgerichts BG.2012.5 vom 21. März 2012, E. 2.1). Auf diesbezügliche Weiterungen kann an dieser Stelle ver- zichtet werden.</w:t>
      </w:r>
    </w:p>
    <w:p>
      <w:r>
        <w:rPr>
          <w:b/>
        </w:rPr>
        <w:t>E. 3.1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w:t>
      </w:r>
    </w:p>
    <w:p>
      <w:r>
        <w:t>- 5 -</w:t>
      </w:r>
    </w:p>
    <w:p>
      <w:r>
        <w:t>nicht zuständigen Kanton mit der Verfolgung zu betrauen, setzt triftige Gründe voraus und die Überlegungen, welche den gesetzlichen Gerichts- stand als unzweckmässig erscheinen lassen, müssen sich gebieterisch aufdrängen. Überdies kann ein Kanton entgegen dem gesetzlichen Ge- richtsstand nur zuständig erklärt werden resp. sich selber zuständig erklä- ren, wenn dort tatsächlich ein örtlicher Anknüpfungspunkt besteht (vgl. MO- SER, Basler Kommentar, Basel 2011, Art. 38 StPO N. 2 m.w.H.; siehe auch GOLDSCHMID/MAURER/SOLLBERGER, Kommentierte Textausgabe zur Schweizerischen Strafprozessordnung [StPO], Bern 2008, S. 32 f.; GALLIA- NI/MARCELLINI, op. cit., n. 1 e 2 ad art. 38 CPP).</w:t>
      </w:r>
    </w:p>
    <w:p>
      <w:r>
        <w:t>Zu beachten ist auch, dass ein bereits nach den Artikeln 38 – 41 StPO festgelegter Gerichtsstand nur aus neuen wichtigen Gründen und nur vor der Anklageerhebung geändert werden kann (Art. 42 Abs. 3 StPO). Als sol- che wichtigen Gründe kommen namentlich in Frage: die Ermessensüber- schreitung durch die Kantone beim Abweichen vom gesetzlichen Gerichts- stand und das Fehlen eines Anknüpfungspunktes beim verfolgenden Kan- ton oder das Auftauchen neuer Tatsachen, nach welchen sich aus verfah- rensökonomischen Gründen ein Wechsel des Gerichtsstands gebieterisch aufdrängt (vgl. hierzu KUHN, a.a.O., Art. 42 StPO N. 8 m.w.H.). In der Pra- xis liegen keine Gründe für eine Neubeurteilung vor, wenn ein Teil der in die Untersuchung einbezogenen Handlungen aus der Strafverfolgung aus- scheidet, die verfolgten Handlungen nachträglich rechtlich anders gewür- digt werden, weitere gleichartige Delikte dazukommen oder wenn die Un- tersuchung kurz vor dem Abschluss steht. Die nachträgliche Änderung wurde demgegenüber angeordnet, wenn die Gerichtsstandsanerkennung auf einem Irrtum beruhte, der einen Revisionsgrund darstellen würde oder wenn trotz hängigen Strafverfahren wegen massiv schwererer Delikte die Zuständigkeit anerkannt wird, oder die neuen Delikte schwerer wiegen und ein deutlich anderes Schwergewicht ergeben (siehe KUHN, a.a.O., Art. 42 StPO N. 9 m.w.H.).</w:t>
      </w:r>
    </w:p>
    <w:p>
      <w:r>
        <w:rPr>
          <w:b/>
        </w:rPr>
        <w:t>E. 3.2</w:t>
      </w:r>
    </w:p>
    <w:p>
      <w:r>
        <w:t>Der Gesuchsgegner verweist diesbezüglich auf die folgenden Umstände (siehe act. 3, S. 4): so habe die Staatsanwaltschaft Bischofszell das Ver- fahren gegen B. zwischenzeitlich von der nunmehr mit Strafbefehl rechts- kräftig abgeschlossenen Strafuntersuchung gegen A. abgetrennt, der De- liktsort von neun der insgesamt zehn B. vorzuwerfenden Delikte befinde sich auf dem Gebiet des Kantons Zürich, keiner auf dem Gebiet des Kan- tons Thurgau und schliesslich habe B. auch im Kanton Zürich gewohnt, be- vor er am 11. November 2011 von den zürcherischen Migrationsbehörden ausgeschafft worden sei.</w:t>
      </w:r>
    </w:p>
    <w:p>
      <w:r>
        <w:t>- 6 -</w:t>
      </w:r>
    </w:p>
    <w:p>
      <w:r>
        <w:t>Hierzu ist vorab festzuhalten, dass die mittlerweile erfolgte Erledigung des gegen A. geführten Verfahrens praxisgemäss keinen wichtigen Grund im Sinne des Art. 42 Abs. 3 StPO zur Neubeurteilung der Gerichtsstandsfrage betreffend der B. zur Last gelegten Straftaten darstellt. Dies obwohl der Ge- richtsstand für die Beurteilung der gegen A. erhobenen Vorwürfe aufgrund der einschlägigen gesetzlichen Bestimmungen auch bezüglich B. den Ge- richtsstand begründet. Zwar kann sich durch die nunmehr erfolgte Tren- nung der entsprechenden Verfahren der hinter der gesetzlichen Regelung von Art. 33 Abs. 2 und Art. 34 Abs. 1 StPO stehende Zweck der gemein- samen Beurteilung gemeinsam verübter Straftaten nicht mehr erfüllen. An- dererseits kann es den Kantonen nicht offen stehen, sich durch solche Trennungen unliebsamer Strafverfahren zu entledigen. Vorliegend fehlt es in den Akten an einer Begründung, weshalb es im Kanton Thurgau zur Trennung der Verfahren gegen A. und B. gekommen ist. Im Umstand, dass sich der Beschuldigte B. im Kanton Thurgau offenbar keinerlei Straftaten hat zuschulden kommen lassen, liegt auf jeden Fall keine neue Tatsache im Sinne von Art. 42 Abs. 3 StPO, waren sich die Strafverfolgungsbehör- den des Kantons Thurgau doch von Beginn weg dieses Umstandes be- wusst. Für Schwerpunktüberlegungen im Sinne der erwähnten Rechtspre- chung fehlt es schliesslich bereits an einer grösseren Zahl von Straftaten (siehe hierzu u. a. den Beschluss des Bundesstrafgerichts BG.2011.25 vom 28. September 2011, E. 3.2 m.w.H.).</w:t>
      </w:r>
    </w:p>
    <w:p>
      <w:r>
        <w:rPr>
          <w:b/>
        </w:rPr>
        <w:t>E. 4</w:t>
      </w:r>
    </w:p>
    <w:p>
      <w:r>
        <w:t>Nach dem Gesagten erweist sich das Gesuch als begründet und es sind daher die Strafverfolgungsbehörden des Gesuchsgegners für berechtigt und verpflichtet zu erklären, die B. zur Last gelegten Delikte zu verfolgen und zu beurteilen.</w:t>
      </w:r>
    </w:p>
    <w:p>
      <w:r>
        <w:rPr>
          <w:b/>
        </w:rPr>
        <w:t>E. 5</w:t>
      </w:r>
    </w:p>
    <w:p>
      <w:r>
        <w:t>Es werden keine Gerichtskosten erhoben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