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BG.2012.51 vom 21. März 2013</w:t>
      </w:r>
    </w:p>
    <w:p>
      <w:r>
        <w:t>Bundesstrafgericht, 2013-03-21, DE</w:t>
      </w:r>
    </w:p>
    <w:p>
      <w:r>
        <w:rPr>
          <w:b/>
        </w:rPr>
        <w:t xml:space="preserve">Quelle: </w:t>
      </w:r>
      <w:r>
        <w:t>https://mcp.opencaselaw.ch/entscheid/bstger_BG.2012.51</w:t>
      </w:r>
    </w:p>
    <w:p>
      <w:r>
        <w:t>FR: TPF BG.2012.51 du 21 mars 2013</w:t>
      </w:r>
    </w:p>
    <w:p>
      <w:r>
        <w:t>IT: TPF BG.2012.51 del 21 marzo 2013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Zürich/St. Gallen 2010, n. 5 ad art. 40 CPP).</w:t>
      </w:r>
    </w:p>
    <w:p>
      <w:r>
        <w:rPr>
          <w:b/>
        </w:rPr>
        <w:t>E. 1.2</w:t>
      </w:r>
    </w:p>
    <w:p>
      <w:r>
        <w:t>Die Staatsanwaltschaft Basel-Stadt ist berechtigt, den Gesuchsteller bei in- terkantonalen Gerichtsstandskonflikten vor der Beschwerdekammer des Bundesstrafgerichts zu vertreten (Art. 40 Abs. 2 StPO i.V.m. § 49 Abs. 2 des Gesetzes betreffend Wahl und Organisation der Gerichte sowie der Arbeitsverhältnisse des Gerichtspersonals und der Staatsanwaltschaft des Kantons Basel-Stadt vom 27. Juni 1895 [Gerichtsorganisationsgesetz, GOG/BS; SG 154.100]). Im Kanton Zürich steht diese Befugnis der Ober-</w:t>
      </w:r>
    </w:p>
    <w:p>
      <w:r>
        <w:t>- 4 -</w:t>
      </w:r>
    </w:p>
    <w:p>
      <w:r>
        <w:t>staatsanwaltschaft zu (§ 107 Abs. 1 lit. b des Gesetzes über die Gerichts- und Behördenorganisation im Zivil- und Strafprozess des Kantons Zürich vom 10. Mai 2010 [GOG/ZH; LS 211.1]). Die übrigen Eintretensvoraus- setzungen geben vorliegend – nach nunmehr ordentlich erfolgtem Ab- schluss des Meinungsaustauschs zwischen den Parteien und dem nach- träglichen Eintreffen der Stellungnahme der vom Gesuchsteller ebenfalls noch angegangenen Generalstaatsanwaltschaft des Kantons Bern – zu keinen weiteren Bemerkungen Anlass, weshalb auf das Gesuch einzutre- ten ist.</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in der Schweiz liegende Handlungsort geht somit dem Erfolgsort vor und ist bei der Bestimmung des Gerichtsstandes allein massgebend (vgl. u. a. den Beschluss des Bun- desstrafgerichts BG.2011.50 vom 31. Januar 2012, E. 2.1 m.w.H.). Lässt sich der Handlungsort in der Schweiz nicht bestimmen oder nicht ermitteln, so sind ebenfalls die Behörden am Erfolgsort zuständig. Vorausgesetzt wird hierbei, dass die schweizerische Gerichtsbarkeit nach Art. 3 ff. StGB nicht offensichtlich auszuschliessen ist (siehe FINGERHUTH/LIEBER, Kom- mentar zur Schweizerischen Strafprozessordnung [StPO], Zürich/Ba- sel/Genf 2010, Art. 31 StPO N. 16 m.w.H.).</w:t>
      </w:r>
    </w:p>
    <w:p>
      <w:r>
        <w:t>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worden sind (Art. 34 Abs. 1 StPO). Sind noch an keinem der Tatorte Ver- folgungshandlungen vorgenommen worden und besteht überdies in keinem dieser Kantone ein Schwergewicht der deliktischen Tätigkeit, ist darauf ab- zustellen, wo die beschuldigte Person das erste Delikt begangen hat (vgl. BGE 128 IV 216).</w:t>
      </w:r>
    </w:p>
    <w:p>
      <w:r>
        <w:rPr>
          <w:b/>
        </w:rPr>
        <w:t>E. 2.2</w:t>
      </w:r>
    </w:p>
    <w:p>
      <w:r>
        <w:t>Im vorliegenden Fall liess sich durch die bisherigen Ermittlungen der Straf- behörden des Gesuchstellers kein in der Schweiz liegender Ort ermitteln, von welchem aus die unbekannte Täterschaft die zur Diskussion stehenden Fax-Schreiben versandt hat. Das wird auch vom Gesuchsgegner nicht</w:t>
      </w:r>
    </w:p>
    <w:p>
      <w:r>
        <w:t>- 5 -</w:t>
      </w:r>
    </w:p>
    <w:p>
      <w:r>
        <w:t>bestritten, weshalb diesbezüglich auf die Ausführungen des Gesuchstellers in act. 1, Rz. 2.2 f. verwiesen werden kann.</w:t>
      </w:r>
    </w:p>
    <w:p>
      <w:r>
        <w:rPr>
          <w:b/>
        </w:rPr>
        <w:t>E. 2.3</w:t>
      </w:r>
    </w:p>
    <w:p>
      <w:r>
        <w:t>Umstritten ist demgegenüber die Frage, ob und wo sich in der Schweiz al- lenfalls ein Erfolgsort im Sinne von Art. 31 Abs. 1 StPO ermitteln lässt. Der Gesuchsgegner vertritt diesbezüglich den Standpunkt, dass es sich bei den zu untersuchenden Straftaten um reine Tätigkeitsdelikte handle (mit Hin- weis auf das Urteil des Bundesgerichts 6S.677/2001 vom 16. März 2002, E. 4.b.cc), denen es an einem Erfolgsort fehle, weshalb sich der Gerichts- stand nach Art. 31 StPO nicht fixieren lasse (act. 1.18). Der Gesuchsteller macht demgegenüber mit Hinweis auf BGE 125 IV 177 geltend, dass auch bei Tätigkeitsdelikten wie beispielsweise bei Ehrverletzungen, bei denen die Täterschaft vom Ausland aus handle, die Möglichkeit eines hiesigen "Erfolgs" im Sinne von Art. 8 Abs. 1 StGB anerkannt werde, wenn die Ehr- verletzung in der Schweiz zur Kenntnis genommen werde (act. 1, Rz. 3.1).</w:t>
      </w:r>
    </w:p>
    <w:p>
      <w:r>
        <w:t>Mit Blick auf die vom Gesuchsteller angeführte Rechtsprechung ist bei den hier zur Diskussion stehenden Delikten von einem in der Schweiz liegen- den Erfolgsort im Sinne von Art. 8 Abs. 1 StGB auszugehen, wurde die vom Lauterkeitsrecht verpönte Werbung offensichtlich gezielt an in der Schweiz domizilierte Kunden verschickt ("B.-Verzeichnis") bzw. in der Schweiz zur Kenntnis genommen. Die schweizerische Gerichtsbarkeit ist demzufolge nicht offensichtlich auszuschliessen. Folgt man den Ausfüh- rungen des Gesuchsgegners, so würde es im vorliegenden Fall trotz Beja- hung der schweizerischen Strafhoheit aber an einem schweizerischen Ge- richtsstand fehlen; ein solches Ergebnis ist nicht vertretbar (vgl. hierzu FIN- GERHUTH/LIEBER, a.a.O., Art. 31 StPO N. 7 m.w.H.) bzw. muss durch eine analoge Anwendung von Art. 8 Abs. 1 StGB auch auf die inter- bzw. inner- kantonale Gerichtsstandsbestimmung korrigiert werden können. Damit soll der Grundsatz, wonach der Begehungsort nach Art. 8 StGB keinen direkten Einfluss auf die Gerichtsstandsbestimmung innerhalb der Schweiz hat (BGE 120 IV 146 E. 2a S. 151 f.; Urteil des Bundesgerichts 8G.94/2003 vom 17. Oktober 2003, E. 2.1), nicht ausser Kraft gesetzt werden (diesbe- züglich nicht eindeutig der Beschluss des Bundesstrafgerichts BG.2012.37 vom 24. Januar 2013, E. 2.2.2). Fehlt es – wie im vorliegenden Fall – aber trotz gestützt auf den Erfolgsort im Sinne des Art. 8 Abs. 1 StGB bejahter schweizerischer Strafhoheit an jeglichen bestimmbaren Anknüpfungspunk- ten zur Festlegung des Gerichtsstandes innerhalb der Schweiz, so ist hilfs- weise auf den Erfolgsort im Sinne von Art. 8 Abs. 1 StGB und die hierzu ergangene Gerichtspraxis zurückzugreifen (vgl. im Ergebnis bereits den Beschluss des Bundesstrafgerichts BG.2012.14 vom 2. August 2012, E. 3.5).</w:t>
      </w:r>
    </w:p>
    <w:p>
      <w:r>
        <w:t>- 6 -</w:t>
      </w:r>
    </w:p>
    <w:p>
      <w:r>
        <w:t>Bezüglich der hier zur Diskussion stehenden Delikte befinden sich die Er- folgsorte im oben beschriebenen Sinne am jeweiligen Ort, wo die Empfän- ger die Offertformulare empfangen haben (Standorte der jeweiligen Tele- fax-Geräte der betroffenen Personen).</w:t>
      </w:r>
    </w:p>
    <w:p>
      <w:r>
        <w:rPr>
          <w:b/>
        </w:rPr>
        <w:t>E. 2.4</w:t>
      </w:r>
    </w:p>
    <w:p>
      <w:r>
        <w:t>Vorliegend wurden mehrere Personen und Unternehmen in verschiedenen Kantonen mit Offertformularen bedient. In keinem der betroffenen Kantone wurden bisher jedoch Verfolgungshandlungen vorgenommen. Solche er- folgten bis dato nur im Kanton Basel-Stadt, in dessen Gebiet jedoch keiner- lei Erfolgsort im oben beschriebenen Sinne vorliegt. Eine Gerichtsstands- bestimmung gestützt auf das "forum praeventionis" im Sinne von Art. 34 Abs. 1 StPO erweist sich hier somit als nicht möglich. Für Schwergewichts- überlegungen fehlt es vorderhand bereits an der vorausgesetzten grossen Anzahl von bisher in Frage stehenden Delikten (Beschlüsse des Bundes- strafgerichts BG.2012.15 vom 23. Mai 2012, E. 3.3; BG.2012.9 vom 10. Mai 2012, E. 3.2 in fine; BG.2011.25 vom 28. September 2011, E. 3.2). Mit Blick auf den in E. 2.1 angeführten BGE 128 IV 216 ist daher auf das in zeitlicher Hinsicht erste Delikt abzustellen. Ausgehend vom jeweiligen – zumindest gemäss derzeitigem Aktenstand – an das Versanddatum der Fax-Schreiben angepassten Redaktionschluss für Rückantworten dürfte es als gesichert anzunehmen sein, dass das erste der zur Diskussion stehen- den Offertformulare unmittelbar vor dem 13. April 2012 an die Eheleute C. in Z. (Kanton Zürich) gerichtet worden ist (act. 1.1, pag. 16).</w:t>
      </w:r>
    </w:p>
    <w:p>
      <w:r>
        <w:rPr>
          <w:b/>
        </w:rPr>
        <w:t>E. 3</w:t>
      </w:r>
    </w:p>
    <w:p>
      <w:r>
        <w:t>Nach dem Gesagten erweist sich das Gesuch als begründet und es sind die Strafverfolgungsbehörden des Kantons Zürich für berechtigt und ver- pflichtet zu erklären, die vorliegenden Widerhandlungen gegen das UWG zu verfolgen und zu beurteilen.</w:t>
      </w:r>
    </w:p>
    <w:p>
      <w:r>
        <w:rPr>
          <w:b/>
        </w:rPr>
        <w:t>E. 4</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