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BG.2012.50 vom 11. Januar 2013</w:t>
      </w:r>
    </w:p>
    <w:p>
      <w:r>
        <w:t>Bundesstrafgericht, 2013-01-11, DE</w:t>
      </w:r>
    </w:p>
    <w:p>
      <w:r>
        <w:rPr>
          <w:b/>
        </w:rPr>
        <w:t xml:space="preserve">Quelle: </w:t>
      </w:r>
      <w:r>
        <w:t>https://mcp.opencaselaw.ch/entscheid/bstger_BG.2012.50</w:t>
      </w:r>
    </w:p>
    <w:p>
      <w:r>
        <w:t>FR: TPF BG.2012.50 du 11 janvier 2013</w:t>
      </w:r>
    </w:p>
    <w:p>
      <w:r>
        <w:t>IT: TPF BG.2012.50 del 11 gennaio 2013</w:t>
      </w:r>
    </w:p>
    <w:p>
      <w:pPr>
        <w:pStyle w:val="Heading2"/>
      </w:pPr>
      <w:r>
        <w:t>Regeste</w:t>
      </w:r>
    </w:p>
    <w:p>
      <w:r>
        <w:t>Gerichtsstandskonflikt (Art. 40 Abs. 2 StPO).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Strafbehörden prüfen ihre Zuständigkeit von Amtes wegen und leiten einen Fall wenn nötig der zuständigen Stelle weiter (Art. 39 Abs. 1 StPO). Erscheinen mehrere Strafbehörden als örtlich zuständig, so informieren sich die beteiligten Staatsanwaltschaften unverzüglich über die wesentli- chen Elemente des Falles und bemühen sich um eine möglichst rasche Ei- nigung (Art. 39 Abs. 2 StPO). Können sich die Strafverfolgungsbehörden verschiedener Kantone über den Gerichtsstand nicht einigen, so unterbrei- tet die Staatsanwaltschaft des Kantons, der zuerst mit der Sache befasst war, die Frage unverzüglich, in jedem Fall vor der Anklageerhebung, der Beschwerdekammer des Bundesstrafgerichts zum Entscheid (Art. 40 Abs. 2 StPO i.V.m. Art. 37 Abs. 1 StBOG). Hinsichtlich der Frist, innerhalb welcher die ersuchende Behörde ihr Gesuch einzureichen hat, ist im Nor- malfall die Frist von zehn Tagen gemäss Art. 396 Abs. 1 StPO analog an- zuwenden (vgl. hierzu u. a. TPF 2011 94 E. 2.2). Die Behörden, welche be- rechtigt sind, ihren Kanton im Meinungsaustausch und im Verfahren vor der Beschwerdekammer zu vertreten, bestimmen sich nach dem jeweiligen kantonalen Recht (Art. 14 Abs. 4 StPO; vgl. hierzu KUHN, in: Basler Kom- men-tar, Basel 2011, Art. 39 StPO N. 9 sowie Art. 40 StPO N. 10; SCHMID, Handbuch des schweizerischen Strafprozessrechts, Zürich/St. Gallen 2009, N. 488; GALLIANI/MARCELLINI, in: Codice svizzero di procedura penale [CPP] – Commentario, Zurigo/San Gallo 2010, n. 5 ad art. 40 CPP).</w:t>
      </w:r>
    </w:p>
    <w:p>
      <w:r>
        <w:rPr>
          <w:b/>
        </w:rPr>
        <w:t>E. 1.2</w:t>
      </w:r>
    </w:p>
    <w:p>
      <w:r>
        <w:t>Die Staatsanwaltschaft Basel-Landschaft ist berechtigt, den Gesuchsteller in interkantonalen Gerichtsstandskonflikten vor der Beschwerdekammer des Bundesstrafgerichts zu vertreten (Art. 40 Abs. 2 StPO i.V.m. § 2 der Dienstordnung der Staatsanwaltschaft des Kantons Basel-Landschaft vom 8. November 2011 [SGS 145.17] und § 8 EG StPO vom 12. März 2009 [SGS 250]). Im Kanton Genf kommt diese Befugnis dem Parquet du Procu- reur général zu, wobei der Procureur général seine Befugnis dem Premier Procureur delegieren kann (vgl. Behördenverzeichnis der Konferenz der Strafverfolgungsbehörden der Schweiz [KSBS] vom 26. November 2009 sowie Art. 81 Abs. 1 Loi sur l'organisation judiciaire [LOJ] vom 26. Septem- ber 2011 [E 2 05]).</w:t>
      </w:r>
    </w:p>
    <w:p>
      <w:r>
        <w:rPr>
          <w:b/>
        </w:rPr>
        <w:t>E. 1.3</w:t>
      </w:r>
    </w:p>
    <w:p>
      <w:r>
        <w:t>Wie der Darstellung des Sachverhalts zu entnehmen ist, erhielt der Ge- suchsteller am 13. August 2012 die negativ ausfallende Stellungnahme der auf Seiten des Gesuchsgegners zuständigen Behörde betreffend die Ge- richtsstandsanfrage vom 25. Juli 2012. Aufgrund dieser Stellungnahme musste davon ausgegangen werden, dass sich die Strafverfolgungsbehör-</w:t>
      </w:r>
    </w:p>
    <w:p>
      <w:r>
        <w:t>- 4 -</w:t>
      </w:r>
    </w:p>
    <w:p>
      <w:r>
        <w:t>den der beiden betroffenen Kantone über den Gerichtstand nicht hatten ei- nigen können. In jenem Zeitpunkt begann demzufolge die Frist von 10 Tagen zu laufen, weshalb sich die Einreichung des Gesuchs vom 5. De- zember 2012 als verspätet erweist. Daran ändert auch nichts, dass der Ge- suchsteller knapp 6 Wochen nach der ablehnenden Stellungnahme des Gesuchsgegners erneut an diesen gelangt ist. Weder diese noch die dritte am 19. November 2012 an den Gesuchsgegner gerichtete Anfrage um Ver- fahrensübernahme sind im vorliegenden Fall für den Beginn des Fristenlau- fes ausschlaggebend bzw. vermochten die laufende Frist zu unterbrechen, nachdem die Position der zuständigen Behörden auf Seiten des Gesuchs- gegners in ihrer ersten Stellungnahme bereits eindeutig und abschliessend war. Anders zu entscheiden wäre die Frage unter Umständen in Fällen, wo die schriftliche Stellungnahme des Gesuchsgegners noch Verhandlungs- spielraum bietet, der Fall aufgrund noch unklarer Faktenlage weiterer Erör- terung bedarf oder aber während laufender Frist neue Fakten bekannt wer- den, welche die Beurteilung der Gerichtsstandsfrage wesentlich beeinflus- sen (vgl. Beschluss des Bundesstrafgerichts BG.2012.20 vom 27. Juni 2012, E. 1.3). Vorliegend geht aus den Akten nicht hervor, dass eine derartige Ausnahmesituation vorliegen würde. Damit ist auf die Einga- be des Gesuchstellers nach dem Gesagten gemäss der obgenannten Pra- xis nicht einzutreten.</w:t>
      </w:r>
    </w:p>
    <w:p>
      <w:r>
        <w:rPr>
          <w:b/>
        </w:rPr>
        <w:t>E. 1.4</w:t>
      </w:r>
    </w:p>
    <w:p>
      <w:r>
        <w:t>Der Gesuchsteller ist damit für die Weiterführung des Verfahrens zustän- dig. Dieses Resultat ist auch gerechtfertigt, weil zumindest ein örtlicher An- knüpfungspunkt zur Verfahrensführung im Kanton Basel-Landschaft gege- ben ist, hat doch die A. AG, welche letztlich durch die betrügerischen Hand- lungen der unbekannten Täterschaft hätte geschädigt werden sollen, dort ihren Sitz (vgl. SCHWERI/BÄNZIGER, Interkantonale Gerichtsstandsbestim- mung in Strafsachen, 2. A., Bern 2004, N 101).</w:t>
      </w:r>
    </w:p>
    <w:p>
      <w:r>
        <w:rPr>
          <w:b/>
        </w:rPr>
        <w:t>E. 2</w:t>
      </w:r>
    </w:p>
    <w:p>
      <w:r>
        <w:t>Es sind keine Gerichtskosten zu erheben (Art. 423 Abs. 1 StPO).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