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BG.2012.48 vom 18. Januar 2013</w:t>
      </w:r>
    </w:p>
    <w:p>
      <w:r>
        <w:t>Bundesstrafgericht, 2013-01-18, DE</w:t>
      </w:r>
    </w:p>
    <w:p>
      <w:r>
        <w:rPr>
          <w:b/>
        </w:rPr>
        <w:t xml:space="preserve">Quelle: </w:t>
      </w:r>
      <w:r>
        <w:t>https://mcp.opencaselaw.ch/entscheid/bstger_BG.2012.48</w:t>
      </w:r>
    </w:p>
    <w:p>
      <w:r>
        <w:t>FR: TPF BG.2012.48 du 18 janvier 2013</w:t>
      </w:r>
    </w:p>
    <w:p>
      <w:r>
        <w:t>IT: TPF BG.2012.48 del 18 gennaio 2013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Die Staatsanwaltschaft Zug ist berechtigt, den Gesuchsteller bei interkan- tonalen Gerichtsstandskonflikten vor der Beschwerdekammer zu vertreten (§ 46 Abs. 4 des Gesetzes über die Organisation der Zivil- und Strafrechts-</w:t>
      </w:r>
    </w:p>
    <w:p>
      <w:r>
        <w:t>- 4 -</w:t>
      </w:r>
    </w:p>
    <w:p>
      <w:r>
        <w:t>pflege des Kantons Zug vom 26. August 2010 [Gerichtsorganisationsge- setz, GOG/ZG; BGS 161.1]). Bezüglich der Gesuchsgegner steht diese Be- fugnis im Kanton Schwyz der Oberstaatsanwaltschaft (§ 48 lit. e und lit. f der Justizverordnung des Kantons Schwyz vom 18. November 2009 [SRSZ 231.110]) und im Kanton St. Gallen dem örtlich zuständigen und am Verfahren beteiligten leitenden Staatsanwalt zu (Art. 24 des Einführungs- gesetzes zur Schweizerischen Straf- und Jugendstrafprozessordnung des Kantons St. Gallen vom 3. August 2010 [sGS 962.1]). Die übrigen Eintre- tensvoraussetzungen geben vorliegend zu keinen weiteren Bemerkungen Anlass, weshalb auf das Gesuch einzutreten ist.</w:t>
      </w:r>
    </w:p>
    <w:p>
      <w:r>
        <w:rPr>
          <w:b/>
        </w:rPr>
        <w:t>E. 2.1</w:t>
      </w:r>
    </w:p>
    <w:p>
      <w:r>
        <w:t>Die Beurteilung der Gerichtsstandsfrage richtet sich nach der aktuellen Verdachtslage. Massgeblich ist nicht, was dem Beschuldigten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(MOSER, Basler Kommentar, Basel 2011, Art. 34 StPO N. 11; GUIDON/BÄNZIGER, Die aktuelle Rechtsprechung des Bundesstrafge- richts zum interkantonalen Gerichtsstand in Strafsachen, Jusletter 21. Mai 2007, [Rz 25] m.w.H.; vgl. nebst anderen den Entscheid des Bun- desstrafgerichts BG.2010.12 vom 8. September 2010, E. 2.2 m.w.H.). Es gilt der Grundsatz „in dubio pro duriore“, wonach im Zweifelsfall auf den für den Beschuldigten ungünstigeren Sachverhalt abzustellen bzw. das schwe- rere Delikt anzunehmen ist (GUIDON/BÄNZIGER, a.a.O., [Rz 42] m.w.H.).</w:t>
      </w:r>
    </w:p>
    <w:p>
      <w:r>
        <w:rPr>
          <w:b/>
        </w:rPr>
        <w:t>E. 2.2</w:t>
      </w:r>
    </w:p>
    <w:p>
      <w:r>
        <w:t>Vorliegend wurde Anfang 2012 im Konkursverfahren der C. AG seitens der B. AG eine Fotokopie eines Aktienkaufvertrages über sämtliche 100 Na- menaktien der C. AG eingereicht, nachdem das Konkursamt Höfe den Ver- treter der B. AG aufgefordert hatte, der Nachliberierungspflicht im Umfang von Fr. 50'000.-- nachzukommen (Gerichtsstandsakten Zug Urk. 2/24). Gemäss diesem Vertrag, der vom 18. Januar 2010 datiert, verkaufte die B. AG, die Aktien an A. (Gerichtsstandsakten Zug Urk. 2/27). Bei diesem Vertrag, der keine lesbaren Unterschriften trägt, soll es sich um ein ge- fälschtes Dokument handeln.</w:t>
      </w:r>
    </w:p>
    <w:p>
      <w:r>
        <w:rPr>
          <w:b/>
        </w:rPr>
        <w:t>E. 2.3</w:t>
      </w:r>
    </w:p>
    <w:p>
      <w:r>
        <w:t>Gemäss Art. 31 Abs. 1 StPO sind für die Verfolgung und Beurteilung einer Straftat die Behörden des Ortes zuständig, an dem die Tat verübt worden</w:t>
      </w:r>
    </w:p>
    <w:p>
      <w:r>
        <w:t>- 5 -</w:t>
      </w:r>
    </w:p>
    <w:p>
      <w:r>
        <w:t>ist. Bei Urkundenfälschung gilt als Ausführungsort derjenige Ort, an wel- chem die Urkunde gefälscht wird (SCHWERI/BÄNZIGER, Interkantonale Ge- richtsstandsbestimmung in Strafsachen, 2. A., Bern 2004, N 124; NAY/THOMMEN, Basler Kommentar, 2. A., Basel 2007, Art. 340 StGB N. 6 mit Hinweis auf BGE 122 IV 162 E. 5). Obschon die Täterschaft aufgrund der vorliegenden Akten noch nicht als bekannt vorausgesetzt werden kann und es sich beim mutmasslich gefälschten Vertrag möglicherweise um eine Totalfälschung handelt, ist es bei der gegebenen Aktenlage angebracht, den im Vertrag festgehaltenen Unterzeichnungsort Z./SZ als Tatort anzu- nehmen und damit als Anknüpfungspunkt für die Zuständigkeit festzulegen, zumal die B. AG bis am 16. Dezember 2011 ihren Sitz auch tatsächlich dort hatte (Gerichtsstandsakten Zug Urk. 2/11). Damit sind die Strafverfol- gungsbehörden des Kantons Schwyz gemäss Art. 31 Abs. 1 StPO für be- rechtigt und verpflichtet zu erklären, das gegen die unbekannte Täterschaft zur Last gelegte Urkundendelikt zu verfolgen und zu beurteilen.</w:t>
      </w:r>
    </w:p>
    <w:p>
      <w:r>
        <w:rPr>
          <w:b/>
        </w:rPr>
        <w:t>E. 3</w:t>
      </w:r>
    </w:p>
    <w:p>
      <w:r>
        <w:t>Es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