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BG.2012.46 vom 21. November 2012</w:t>
      </w:r>
    </w:p>
    <w:p>
      <w:r>
        <w:t>Bundesstrafgericht, 2012-11-21, DE</w:t>
      </w:r>
    </w:p>
    <w:p>
      <w:r>
        <w:rPr>
          <w:b/>
        </w:rPr>
        <w:t xml:space="preserve">Quelle: </w:t>
      </w:r>
      <w:r>
        <w:t>https://mcp.opencaselaw.ch/entscheid/bstger_BG.2012.46</w:t>
      </w:r>
    </w:p>
    <w:p>
      <w:r>
        <w:t>FR: TPF BG.2012.46 du 21 novembre 2012</w:t>
      </w:r>
    </w:p>
    <w:p>
      <w:r>
        <w:t>IT: TPF BG.2012.46 del 21 novembre 2012</w:t>
      </w:r>
    </w:p>
    <w:p>
      <w:pPr>
        <w:pStyle w:val="Heading2"/>
      </w:pPr>
      <w:r>
        <w:t>Regeste</w:t>
      </w:r>
    </w:p>
    <w:p>
      <w:r>
        <w:t>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[BStKR, SR 173.713.162]);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