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BG.2012.40 vom 30. Oktober 2012</w:t>
      </w:r>
    </w:p>
    <w:p>
      <w:r>
        <w:t>Bundesstrafgericht, 2012-10-30, DE</w:t>
      </w:r>
    </w:p>
    <w:p>
      <w:r>
        <w:rPr>
          <w:b/>
        </w:rPr>
        <w:t xml:space="preserve">Quelle: </w:t>
      </w:r>
      <w:r>
        <w:t>https://mcp.opencaselaw.ch/entscheid/bstger_BG.2012.40</w:t>
      </w:r>
    </w:p>
    <w:p>
      <w:r>
        <w:t>FR: TPF BG.2012.40 du 30 octobre 2012</w:t>
      </w:r>
    </w:p>
    <w:p>
      <w:r>
        <w:t>IT: TPF BG.2012.40 del 30 ottobre 2012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und Art. 19 Abs. 1 des Organisa- tionsreglements vom 31. August 2010 für das Bundesstrafgericht [Organi- sationsreglement BStGer, BStGerOR; SR 173.713.161]). Hinsichtlich der Frist, innerhalb welcher die ersuchende Behörde ihr Gesuch einzureichen hat, hielt die Beschwerdekammer fest, dass im Normalfall auf die Frist von zehn Tagen gemäss Art. 396 Abs. 1 StPO, welche auch im Beschwerde- verfahren nach den Bestimmungen der Art. 393 ff. StPO Anwendung findet, verwiesen werden kann, wobei ein Abweichen von dieser Frist nur unter besonderen, vom jeweiligen Gesuchsteller zu spezifizierenden Umständen möglich ist (vgl. hierzu u. a. die Beschlüsse des Bundesstrafgerichts BG.2011.17 vom 15. Juli 2011, E. 2.1, und BG.2011.7 vom 17. Juni 2011, E. 2.2). Die Behörden, welche berechtigt sind, ihren Kanton im Meinungs- austausch und im Verfahren vor der Beschwerdekammer zu vertreten, bestimmen sich nach dem jeweiligen kantonalen Recht (Art. 14 Abs. 4 StPO; vgl. hierzu KUHN, Basler Kommentar, Basel 2011, Art. 39 StPO N. 9 sowie Art. 40 StPO N. 10; SCHMID, Handbuch des schweizeri- schen Strafprozessrechts, Zürich/St. Gallen 2009, N. 488; GALLIANI/</w:t>
      </w:r>
    </w:p>
    <w:p>
      <w:r>
        <w:t>- 4 -</w:t>
      </w:r>
    </w:p>
    <w:p>
      <w:r>
        <w:t>MARCELLINI, Codice svizzero di procedura penale [CPP] – Commentario, Zurigo/San Gallo 2010, n. 5 ad art. 40 CPP).</w:t>
      </w:r>
    </w:p>
    <w:p>
      <w:r>
        <w:rPr>
          <w:b/>
        </w:rPr>
        <w:t>E. 1.2</w:t>
      </w:r>
    </w:p>
    <w:p>
      <w:r>
        <w:t>Die Oberstaatsanwaltschaft des Kantons Luzern ist berechtigt, den Ge- suchsteller in interkantonalen Gerichtsstandskonflikten vor der Beschwer- dekammer des Bundesstrafgerichts zu vertreten (vgl. § 4 der Verordnung über die Staatsanwaltschaft des Kantons Luzern vom 14. Dezember 2010 [SRL Nr. 275]). Bezüglich der Gesuchsgegner steht diese Befugnis den je- weiligen Oberstaatsanwaltschaften zu (vgl. für den Kanton Schwyz § 48 lit. e und lit. f der Justizverordnung des Kantons Schwyz vom 18. Novem- ber 2009 [SRSZ 231.110]; für den Kanton Zug § 46 Abs. 4 des Gesetzes über die Organisation der Zivil- und Strafrechtspflege des Kantons Zug vom 26. August 2010 [Gerichtsorganisationsgesetz, GOG/ZG; BGS 161.1] und für den Kanton Zürich § 107 Abs. 1 lit. b des Gesetzes über die Gerichts- und Behördenorganisation im Zivil- und Strafprozess des Kantons Zürich vom 10. Mai 2010 [GOG/ZH, LS 211.1]).</w:t>
      </w:r>
    </w:p>
    <w:p>
      <w:r>
        <w:rPr>
          <w:b/>
        </w:rPr>
        <w:t>E. 1.3</w:t>
      </w:r>
    </w:p>
    <w:p>
      <w:r>
        <w:t>Vorliegend stellt sich die Frage, ob mit allen ernsthaft in Frage kommenden Kantonen ein Meinungsaustausch durchgeführt wurde. Die vorliegende Ge- richtsstandsbestimmung stellt insofern eine Besonderheit dar, als dass ge- gen A. im Kanton Luzern von der Staatsanwaltschaft unter anderem wegen bandenmässigen Diebstahls bereits Anklage erhoben wurde (Verfahrens- order LU 1, Register 2). Gegen B. wurde mit Datum vom</w:t>
      </w:r>
    </w:p>
    <w:p>
      <w:r>
        <w:rPr>
          <w:b/>
        </w:rPr>
        <w:t>E. 6</w:t>
      </w:r>
    </w:p>
    <w:p>
      <w:r>
        <w:t>September 2010 ein Strafbefehl, unter anderem wegen mehrfachen Diebstahls erlassen, welcher in Rechtskraft erwachsen ist (Verfahrensord- ner LU 1, Register 3). Die Anklage gegen A. wie auch der Strafbefehl ge- gen B. haben Diebstahldelikte zum Gegenstand, welche sich während des dem Gerichtsstandsersuchen zugrundeliegenden Deliktszeitraums ereignet haben und einschlägig sind. Gemäss Art. 49 Abs. 2 StGB hat das Gericht, welches eine Tat zu beurteilen hat, die der Täter begangen hat, bevor er wegen einer andern Tat verurteilt worden ist, die Zusatzstrafe in der Weise zu bestimmen, dass der Täter nicht schwerer bestraft wird, als wenn die strafbaren Handlungen gleichzeitig beurteilt worden wären. Folglich hat das Gericht eine teilweise Zusatzstrafe zu der noch zu verhängenden Strafe von A. auszufällen. Dies hat seinen Ursprung darin, dass der Täter durch die getrennte Beurteilung nicht benachteiligt, jedoch auch nicht besser ge- stellt werden soll (ACKERMANN, Basler Kommentar, Basel 2007, Art. 49 StGB, N. 54). Wie es sich hinsichtlich des Erfordernisses der gleichartigen Strafen bezüglich des bestehenden Strafbefehls von B. (Geldstrafe) und des zu erwarteten Urteils (Freiheitsstrafe bis zu zehn Jahren oder Geldstra- fe nicht unter 180 Tagessätzen) verhält, kann dabei offen bleiben. Liegen die Voraussetzungen für die Anwendung von Art. 49 Abs. 2 StGB vor, so</w:t>
      </w:r>
    </w:p>
    <w:p>
      <w:r>
        <w:t>- 5 -</w:t>
      </w:r>
    </w:p>
    <w:p>
      <w:r>
        <w:t>muss zur Bemessung der Zusatzstrafe in einem ersten Schritt ein hypothe- tisches Gesamtes aller zeitlich vor dem früheren Urteil begangenen Strafta- ten gebildet werden. Verlangt der mit der Zweittat verwirklichte Tatbestand eine Mindeststrafe, so müssen Grund- und Zusatzstrafe zusammen, mithin die hypothetische Gesamtstrafe, diese Mindeststrafe überschreiten und nicht etwa die Zusatzstrafe allein (ACKERMANN, a.a.O., Art. 49 StGB, N. 68). Für die gerichtliche Beurteilung der vorliegenden Delikte sind somit auch die Delikte, welche bereits zur Anklage gebracht sind, massgeblich, da es für die Beurteilung, ob Bandenmässigkeit vorliege, auf den gesamten De- liktszeitraum ankommt. Die Delikte sind demnach für den Qualifizierungs- grund der Bandenmässigkeit so zu beurteilen, wie wenn alle in einem Urteil behandelt würden. Wäre dies nicht der Fall, so wäre ein Täter, welchem bei zeitüberschneidend begangenen Delikten vorerst ein Teil davon in einem separaten Verfahren nachgewiesen werden, besser gestellt als derjenige, gegen welchen von Anfang an alle Delikte feststehen, und der deswegen in einem einzigen Verfahren für die gleichen Delikte eventuell härter bestraft würde (wegen qualifizierenden Umständen wie Gewerbs- oder Banden- mässigkeit). Analog sind auch für die Bestimmung des Gerichtsstandes, d.h. für die Festlegung, ab welchem Zeitpunkt beispielsweise (wie vorlie- gend) von einer bandenmässigen Begehung auszugehen ist, alle Delikte im Deliktszeitraum – auch die bereits angeklagten – heranzuziehen. Damit stellt sich die Frage, ob bereits das erste in der Deliktstabelle aufgeführte Delikt in einem Zusammenhang mit den bereits angeklagten oder beurteil- ten steht und ob der Verdacht der bandenmässigen Begehung auch für diese Delikte besteht, bzw. ab welchem Zeitpunkt aus heutiger Sicht von einer bandenmässigen Begehung auszugehen ist. Dabei ist zu beachten, dass bei der Beurteilung der Gerichtsstandsfrage von der aktuellen Ver- dachtslage ausgegangen wird. Der Gerichtsstand bestimmt sich also nicht nach dem, was der Täter begangen hat, sondern nach dem, was ihm vor- geworfen wird, das heisst, was aufgrund der Aktenlage überhaupt in Frage kommt (MOSER, Basler Kommentar, Basel 2011, Art. 34 StPO N. 11).</w:t>
      </w:r>
    </w:p>
    <w:p>
      <w:r>
        <w:t>Gemäss Deliktstabelle wurde das erste Delikt am 14. Juli 2007 in Z., im Kanton Aargau verübt. Wann und wo diesbezüglich die erste Verfolgungs- handlung stattgefunden hat, und ob dort bereits ein bandenmässiges Vor- gehen erblickt werden kann, geht aus den Akten nicht hervor. Unter Be- rücksichtigung der vorhandenen Unterlagen liegt die Vermutung nahe, dass die ab den Baustellen erfolgten Diebstähle jeweils nicht einzeln, sondern von mehreren Tätern zusammen verübt wurden. Dies wäre jedoch in einem Meinungsausstauch insbesondere mit dem Kanton Aargau auszuführen und abzuklären gewesen. Wie sich aus den eingereichten Akten ergibt, wurde der Meinungsaustausch seitens des Gesuchstellers jedoch nur mit</w:t>
      </w:r>
    </w:p>
    <w:p>
      <w:r>
        <w:t>- 6 -</w:t>
      </w:r>
    </w:p>
    <w:p>
      <w:r>
        <w:t>den Kantonen Schwyz, Zug und Zürich durchgeführt und ist damit nicht ab- schliessend. Auf das Gesuch ist daher nicht einzutreten.</w:t>
      </w:r>
    </w:p>
    <w:p>
      <w:r>
        <w:t>2. 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