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 vom 23. Februar 2012</w:t>
      </w:r>
    </w:p>
    <w:p>
      <w:r>
        <w:t>Bundesstrafgericht, 2012-02-23, DE</w:t>
      </w:r>
    </w:p>
    <w:p>
      <w:r>
        <w:rPr>
          <w:b/>
        </w:rPr>
        <w:t xml:space="preserve">Quelle: </w:t>
      </w:r>
      <w:r>
        <w:t>https://mcp.opencaselaw.ch/entscheid/bstger_BG.2012.3</w:t>
      </w:r>
    </w:p>
    <w:p>
      <w:r>
        <w:t>FR: TPF BG.2012.3 du 23 février 2012</w:t>
      </w:r>
    </w:p>
    <w:p>
      <w:r>
        <w:t>IT: TPF BG.2012.3 del 23 febbraio 2012</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in der ab dem 1. Januar 2012 geltenden Version [Organisationsreglement BStGer, BStGerOR; SR 173.713.161]). Voraussetzung für die Anrufung der Be- schwerdekammer ist allerdings, dass mit allen ernsthaft in Frage kommen- den Kantonen ein Meinungsaustausch durchgeführt wurde (SCHWE- RI/BÄNZIGER, Interkantonale Gerichtsstandsbestimmung in Strafsachen,</w:t>
      </w:r>
    </w:p>
    <w:p>
      <w:r>
        <w:rPr>
          <w:b/>
        </w:rPr>
        <w:t>E. 2</w:t>
      </w:r>
    </w:p>
    <w:p>
      <w:r>
        <w:t>Aufl., Bern 2004, N. 599). Die Behörden, welche berechtigt sind, ihren Kanton im Meinungsaustausch und im Verfahren vor der Beschwerde- kammer zu vertreten, bestimmen sich nach dem jeweiligen kantonalen Recht (Art. 14 Abs. 4 StPO; vgl. hierzu KUHN, Basler Kommentar, Basel 2011, Art. 39 StPO N. 9 sowie Art. 40 StPO N. 10; SCHMID, Handbuch des schweizerischen Strafprozessrechts, Zürich/St. Gallen 2009, N. 488; GAL- LIANI/MARCELLINI, Codice svizzero di procedura penale [CPP] - Commenta- rio, Zurigo/San Gallo 2010, n. 5 ad art. 40 CPP).</w:t>
      </w:r>
    </w:p>
    <w:p>
      <w:r>
        <w:rPr>
          <w:b/>
        </w:rPr>
        <w:t>E. 2.1</w:t>
      </w:r>
    </w:p>
    <w:p>
      <w:r>
        <w:t>Die am 1. Januar 2011 neu in Kraft getretenen Bestimmungen der StPO geben zwar den Kantonen keine genau bestimmte Frist, innerhalb welcher sie nach einem gescheiterten Meinungsaustausch die Beschwerde- kammer des Bundesstrafgerichts anzurufen haben. In Art. 40 Abs. 2 StPO werden sie jedoch verpflichtet, dies „unverzüglich“ bzw. „sans retard“ bzw. „senza indugio“ zu tun. Gemäss Entscheid des Bundesstrafgerichts BG.2011.7 vom 17. Juni 2011, E. 2.2 (zur Publikation vorgesehen) wird im Normalfall auf die Frist von 10 Tagen gemäss Art. 396 Abs. 1 StPO verwie- sen. Ein Abweichen von dieser Frist ist unter besonderen, von den Ge- suchstellern zu spezifizierenden Umständen möglich.</w:t>
      </w:r>
    </w:p>
    <w:p>
      <w:r>
        <w:t>- 5 -</w:t>
      </w:r>
    </w:p>
    <w:p>
      <w:r>
        <w:rPr>
          <w:b/>
        </w:rPr>
        <w:t>E. 2.2</w:t>
      </w:r>
    </w:p>
    <w:p>
      <w:r>
        <w:t>Der dem Gerichtsstandskonflikt zugrunde liegende Meinungsaustausch wurde mit Schreiben der Staatsanwaltschaft des Kantons Luzern vom 27. Januar 2012 beendet (Gesuchsbeilage 19). Mit dem Gesuch vom</w:t>
      </w:r>
    </w:p>
    <w:p>
      <w:r>
        <w:rPr>
          <w:b/>
        </w:rPr>
        <w:t>E. 4</w:t>
      </w:r>
    </w:p>
    <w:p>
      <w:r>
        <w:t>Es werden keine Gerichtskosten erhoben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