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BG.2012.29 vom 7. September 2012</w:t>
      </w:r>
    </w:p>
    <w:p>
      <w:r>
        <w:t>Bundesstrafgericht, 2012-09-07, DE</w:t>
      </w:r>
    </w:p>
    <w:p>
      <w:r>
        <w:rPr>
          <w:b/>
        </w:rPr>
        <w:t xml:space="preserve">Quelle: </w:t>
      </w:r>
      <w:r>
        <w:t>https://mcp.opencaselaw.ch/entscheid/bstger_BG.2012.29</w:t>
      </w:r>
    </w:p>
    <w:p>
      <w:r>
        <w:t>FR: TPF BG.2012.29 du 7 septembre 2012</w:t>
      </w:r>
    </w:p>
    <w:p>
      <w:r>
        <w:t>IT: TPF BG.2012.29 del 7 settembre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w:t>
      </w:r>
    </w:p>
    <w:p>
      <w:r>
        <w:t>- 4 -</w:t>
      </w:r>
    </w:p>
    <w:p>
      <w:r>
        <w:t>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Beschwerdekammer fest, dass im Normalfall auf die Frist von zehn Tagen gemäss Art. 396 Abs. 1 StPO, welche auch im Beschwerde- 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Behörden, welche berechtigt sind, ihren Kanton im Meinungs- austausch und im Verfahren vor der Beschwerdekammer zu vertreten, bestimmen sich nach dem jeweiligen kantonalen Recht (Art. 14 Abs. 4 StPO; vgl. hierzu KUHN, Basler Kommentar, Basel 2011, Art. 39 StPO N. 9 sowie Art. 40 StPO N. 10; SCHMID, Handbuch des schweizeri- schen Strafprozessrechts, Zürich/St. Gallen 2009, N. 488; GALLIANI/ MARCELLINI, Codice svizzero di procedura penale [CPP] – Commentario, Zurigo/San Gallo 2010, n. 5 ad art. 40 CPP).</w:t>
      </w:r>
    </w:p>
    <w:p>
      <w:r>
        <w:rPr>
          <w:b/>
        </w:rPr>
        <w:t>E. 1.2</w:t>
      </w:r>
    </w:p>
    <w:p>
      <w:r>
        <w:t>Der stellvertretende Erste Staatsanwalt des Kantons St. Gallen ist berech- tigt, den Gesuchsteller in interkantonalen Gerichtsstandkonflikten vor der Beschwerdekammer des Bundesstrafgerichts zu vertreten (Art. 10 Abs. 1 lit. f i.V.m. Art. 24 des Einführungsgesetzes zur Schweizerischen Straf- und Jugendstrafprozessordnung des Kantons St. Gallen vom 3. August 2010 [EG StPO/SG; sGS 962.1]). Im Kanton Schwyz kommt diese Befugnis der Oberstaatsanwaltschaft (§ 48 lit. e und lit. f der Justizverordnung des Kan- tons Schwyz vom 18. November 2009 [SRSZ 231.110]) zu.</w:t>
      </w:r>
    </w:p>
    <w:p>
      <w:r>
        <w:rPr>
          <w:b/>
        </w:rPr>
        <w:t>E. 1.3</w:t>
      </w:r>
    </w:p>
    <w:p>
      <w:r>
        <w:t>Der Gesuchsteller hat mit dem Gesuchsgegner vor Einreichung des Ge- suchs einen erfolglosen Meinungsaustausch durchgeführt. Dieser Aus- tausch wurde seitens des Gesuchstellers jedoch zur Hauptsache nicht durch den dafür zuständigen stellvertretenden Ersten Staatsanwalt, son- dern durch den Staatsanwalt geführt. Der stellvertretende Erste Staatsan- walt griff erst abschliessend in den Meinungsaustausch ein und versuchte telefonisch eine Einigung zu erzielen, obwohl sich seit der einige Zeit früher erfolgten ablehnenden Stellungnahme des Gesuchsgegners bezüglich der für den Gerichtsstand relevanten Verdachtslage keine neuen Erkenntnisse ergeben hatten; zumindest sind solche neuen Erkenntnisse aus den Akten nicht ersichtlich. In dieser Situation kann man sich fragen, ob die Frist zur Einreichung des Gerichtsstandsgesuchs als gewahrt gelten kann. Ange- sichts der Besonderheiten des vorliegenden Verfahrens und insbesondere</w:t>
      </w:r>
    </w:p>
    <w:p>
      <w:r>
        <w:t>- 5 -</w:t>
      </w:r>
    </w:p>
    <w:p>
      <w:r>
        <w:t>des Umstandes, dass die natürliche(n) Person(en), welche für die in Frage kommende Straftat zur Verantwortung zu ziehen sind, noch ermittelt wer- den müssen, kann die Frage jedoch offen gelassen werden.</w:t>
      </w:r>
    </w:p>
    <w:p>
      <w:r>
        <w:rPr>
          <w:b/>
        </w:rPr>
        <w:t>E. 1.4</w:t>
      </w:r>
    </w:p>
    <w:p>
      <w:r>
        <w:t>Vorliegend geht es um eine Verletzung von Art. 105 AVIG, also um eine verwaltungsstrafrechtliche Widerhandlung, welche gemäss dem Bundes- gesetz über das Verwaltungsstrafrecht (VStrR) geahndet wird. Art. 6 VStrR sieht – im Gegensatz zu Art. 102 StGB für das gemeine Strafrecht – vor, dass für Widerhandlungen, welche in Geschäftsbetrieben begangen wer- den, die natürlichen Personen, welche die Tat begangen haben, zur Ver- antwortung gezogen werden. Die effektiv geschäftsführenden Personen bzw. die Organe haften verwaltungsstrafrechtlich, soweit sie es vorsätzlich oder fahrlässig unterlassen haben, eine Widerhandlung ihrer Untergebenen abzuwenden oder die Wirkung dieser Widerhandlungen aufzuheben (Art. 6 Abs. 2 und 3 VStrR). Eine Art. 102 StGB vergleichbare Unternehmenshaf- tung besteht nur für Bagatelldelikte (Art. 7 VStrR), die vorliegend nicht zur Diskussion stehen.</w:t>
      </w:r>
    </w:p>
    <w:p>
      <w:r>
        <w:rPr>
          <w:b/>
        </w:rPr>
        <w:t>E. 1.5</w:t>
      </w:r>
    </w:p>
    <w:p>
      <w:r>
        <w:t>In der Anzeige des SECO vom 5. Mai 2012 (act. 1.2) wird der Vorwurf er- hoben, im Betrieb der A. AG mit Sitz in Z. (Schweiz) seien zu Unrecht Kurzarbeitsentschädigungen bezogen und damit Art. 105 AVIG verletzt worden. Weder aus dieser Anzeige noch aus den in der Folge durch den Gesuchsteller getroffenen ersten Abklärungen ergeben sich konkrete Handlungen oder Unterlassungen (siehe Art. 6 Abs. 2 VStrR) bestimmter natürlicher Personen, die einen entsprechenden Tatverdacht ergeben. Vielmehr bleibt offen, welche Personen daran beteiligt waren, die Zeiterfas- sungsunterlagen für die Kurzarbeitsentschädigungen zu erstellen, bzw. zu verändern etc. und bei der Arbeitslosenkasse die Entschädigungen wider- rechtlich geltend zu machen. Angesichts fehlender entsprechender Abklä- rungen steht auch nicht fest, welchen geschäftsführenden Personen even- tuelle fahrlässige oder vorsätzliche Unterlassungen im Sinne von Art. 6 Abs. 2 VStrR vorzuwerfen sind. Mit dem Gesuchsteller kann davon ausge- gangen werden, dass B. angesichts seiner dominanten Stellung im Ge- schäftsbetrieb der A. AG in erster Linie für die vorgeworfenen Straftaten bzw. strafbaren Unterlassungen in Frage kommt. Ein hinreichender konkre- ter Tatverdacht, welcher die Eröffnung der Strafuntersuchung gegen B. er- lauben würde, ist damit allerdings noch nicht gegeben. Es ist auch davon auszugehen, dass B., wenn überhaupt, nicht völlig alleine in (verwaltungs-)strafrechtlich relevanter Art und Weise tätig wurde, sondern dass mehrere Beteiligte, die durch die Untersuchungsbehörde noch zu er- mitteln sind, für die bei der A. AG begangenen Straftaten zur Verantwor- tung gezogen werden müssen. Es ergibt sich daraus, dass zum heutigen</w:t>
      </w:r>
    </w:p>
    <w:p>
      <w:r>
        <w:t>- 6 -</w:t>
      </w:r>
    </w:p>
    <w:p>
      <w:r>
        <w:t>Zeitpunkt in gerichtsstandsrelevanter Hinsicht erst der Tatort feststeht, und dass dieser Tatort am Sitz des betroffenen Geschäftsbetriebes im gesuch- stellenden Kanton liegt, was von den Parteien auch nicht bestritten wird. Seine Strafverfolgungsbehörden sind deshalb im heutigen Zeitpunkt für die Verfolgung der bei der A. AG begangenen Straftaten zuständig, und die von ihm aufgeworfene Zuständigkeitsproblematik stellt sich mangels fest- stehender Täteridentität vorläufig nicht.</w:t>
      </w:r>
    </w:p>
    <w:p>
      <w:r>
        <w:rPr>
          <w:b/>
        </w:rPr>
        <w:t>E. 2</w:t>
      </w:r>
    </w:p>
    <w:p>
      <w:r>
        <w:t>Es werden keine Gerichtskosten erhoben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