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BG.2012.25 vom 14. November 2012</w:t>
      </w:r>
    </w:p>
    <w:p>
      <w:r>
        <w:t>Bundesstrafgericht, 2012-11-14, FR</w:t>
      </w:r>
    </w:p>
    <w:p>
      <w:r>
        <w:rPr>
          <w:b/>
        </w:rPr>
        <w:t xml:space="preserve">Quelle: </w:t>
      </w:r>
      <w:r>
        <w:t>https://mcp.opencaselaw.ch/entscheid/bstger_BG.2012.25</w:t>
      </w:r>
    </w:p>
    <w:p>
      <w:r>
        <w:t>FR: TPF BG.2012.25 du 14 novembre 2012</w:t>
      </w:r>
    </w:p>
    <w:p>
      <w:r>
        <w:t>IT: TPF BG.2012.25 del 14 novembre 2012</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 Les parties peuvent attaquer dans les dix jours, devant l'autorité compétente, l'attribution du for décidée par les ministères publics concernés (art. 41 al. 2 CPP).</w:t>
      </w:r>
    </w:p>
    <w:p>
      <w:r>
        <w:rPr>
          <w:b/>
        </w:rPr>
        <w:t>E. 1.2</w:t>
      </w:r>
    </w:p>
    <w:p>
      <w:r>
        <w:t>En l'espèce, la recourante, en tant que veuve de H., s'est vue reconnaître la qualité de partie plaignante dans la procédure initiée par le dépôt de sa plainte pénale auprès du MP-ZG en date du 5 mars 2012 (v. supra let. A). Elle est donc une partie au sens du CPP.</w:t>
      </w:r>
    </w:p>
    <w:p>
      <w:r>
        <w:t>Selon le MP-ZG, pareil constat ne suffirait pas à fonder la qualité pour re- courir en l'espèce. Il se fonde à cet égard sur la pratique développée en lien avec l'ancienne loi fédérale sur la procédure pénale en vigueur jus- qu'au 31 décembre 2010 (PPF), selon laquelle une partie civile n'avait en règle générale pas qualité pour recourir contre une décision par laquelle deux cantons s'étaient entendus sur la fixation d'un for, faute de disposer d'un intérêt digne de protection. L'existence d'un tel intérêt n'aurait pas été démontrée dans le cas présent, ce qui devrait conduire à l'irrecevabilité du recours.</w:t>
      </w:r>
    </w:p>
    <w:p>
      <w:r>
        <w:t>La recourante indique pour sa part que "[i]n keinem Entscheid hat bisher das Gericht die These vertreten, es bestünde kein rechtlich geschütztes In- teresse" au recours d'une partie plaignante en pareils cas (act. 8, p. 1), in- diquant que "[w]eiter hat das Bundesstrafgericht an anderer Stelle fest- gehalten, wer sich ausdrücklich als Privatklägerin konstituiert habe sei zur Beschwerde legitimiert (BG.2011.50, E. 1.1)" (act. 8, p. 2). Elle relève qu'en tout état de cause, "[d]ie Interessen der Mandantin liegen auf der Hand und wurden in der Beschwerde auch dargelegt" (act. 8, p. 1). Elle mentionne notamment à ce titre que "[w]ie bereits erwähnt wurden nebst den von der Beschwerdeführerin 2 erwähnten Umständen auch die Sprache erwähnt, sodann dass die natürlichen Personen mehrheitlich Deutsch sprechen und dass es weder zweckmässig noch wirtschaftlich noch prozessökonomisch ist, den Gerichtsstand zu verlegen" (ibidem).</w:t>
      </w:r>
    </w:p>
    <w:p>
      <w:r>
        <w:t>- 4 -</w:t>
      </w:r>
    </w:p>
    <w:p>
      <w:r>
        <w:rPr>
          <w:b/>
        </w:rPr>
        <w:t>E. 1.3.1</w:t>
      </w:r>
    </w:p>
    <w:p>
      <w:r>
        <w:t>Il est de jurisprudence constante que la légitimation pour recourir suppose l'existence d'un préjudice personnel et direct. En d'autres termes, seule est recevable à recourir une personne qui est atteinte par la décision entreprise et dispose d'un intérêt digne de protection ("Beschwer") à ce qu'elle soit annulée ou modifiée (arrêt du Tribunal pénal fédéral BB.2009.86 du 18 novembre 2009, p. 3; BB.2005.123-124 du 9 février 2006, consid. 1.4; BK_B 064/04b du 25 octobre 2004, consid. 2). L'intérêt digne de protection consiste dans l'utilité pratique que l'admission du recours représenterait pour le recourant ou dans le fait d'éviter un préjudice de nature économi- que, idéale, matérielle ou autre que la décision attaquée causerait à ce dernier (v. arrêt du Tribunal pénal fédéral BB.2009.33 du 30 septembre 2009, consid. 1.5.1 et les références citées).</w:t>
      </w:r>
    </w:p>
    <w:p>
      <w:r>
        <w:t>Sous l'empire de la PPF, doctrine et jurisprudence s'accordaient à considé- rer que, lorsque deux cantons s'étaient entendus sur la fixation d'un for in- tercantonal, la partie civile, à l'instar de la victime LAVI, ne subissait en rè- gle générale aucun préjudice de ce fait, et n'était par conséquent pas légi- timée à remettre en question ledit for par le biais d'un recours à l'autorité de céans (v. arrêt du Tribunal pénal fédéral BG.2010.4 du 13 septembre 2010, consid. 1.2 et les références citées).</w:t>
      </w:r>
    </w:p>
    <w:p>
      <w:r>
        <w:rPr>
          <w:b/>
        </w:rPr>
        <w:t>E. 1.3.2</w:t>
      </w:r>
    </w:p>
    <w:p>
      <w:r>
        <w:t>La recourante fait valoir que deux décisions rendues par l'autorité de céans sous l'empire du nouveau droit (BG.2011.22 et BG.2011.50) ne mentionne- raient plus l'exigence du "Beschwer" en lien avec la légitimation de la partie plaignante à recourir contre une décision par laquelle deux cantons se sont entendus sur la fixation d'un for intercantonal. Le fait de se constituer partie plaignante devant l'autorité de poursuite pénale et la qualité de "partie à la procédure" en découlant au sens de l'art. 104 al. 1 let. b CPP, suffiraient à fonder sa légitimation à recourir dans de tels cas (act. 8, p. 1 s.).</w:t>
      </w:r>
    </w:p>
    <w:p>
      <w:r>
        <w:rPr>
          <w:b/>
        </w:rPr>
        <w:t>E. 1.3.3</w:t>
      </w:r>
    </w:p>
    <w:p>
      <w:r>
        <w:t>La recourante fait remarquer à raison que, dans le cadre des deux déci- sions en question, la condition de l'intérêt digne de protection n'a pas été examinée plus avant. Pareil constat ne saurait cependant suffire à lui seul à conclure que ladite condition ne serait plus requise sous l'empire du nou- veau CPP. Il ressort en effet expressément des travaux préparatoires rela- tifs au CPP, et en particulier à la "Procédure visant à déterminer le for" (art. 39 à 42 CPP [37 à 40 du projet]), que "[d]ans le cadre de l'unification de la procédure pénale, il s'agit de regrouper ces dispositions et d'y apporter, à la lumière de la jurisprudence actuelle [version allemande: "im Lichte der bisherigen Rechtsprechung"], les précisions que requièrent les praticiens de la justice pénale" (Message relatif à l'unification du droit de la procédure</w:t>
      </w:r>
    </w:p>
    <w:p>
      <w:r>
        <w:t>- 5 -</w:t>
      </w:r>
    </w:p>
    <w:p>
      <w:r>
        <w:t>pénale du 21 décembre 2005, FF 2006 1057, 1120 ch. 2.2.3.3). C'est dire que la condition de l'intérêt digne de protection est toujours d'actualité et que la jurisprudence rendue sous l'empire de la PPF dans ce cadre demeu- re valable.</w:t>
      </w:r>
    </w:p>
    <w:p>
      <w:r>
        <w:rPr>
          <w:b/>
        </w:rPr>
        <w:t>E. 1.3.4</w:t>
      </w:r>
    </w:p>
    <w:p>
      <w:r>
        <w:t>En l'espèce, force est d'admettre avec le MP-ZG que la question se pose de savoir quelle serait l'utilité pratique que l'admission du recours représen- terait pour la recourante, citoyenne colombienne domiciliée en Colombie, respectivement en quoi pourrait consister le préjudice – de nature écono- mique, idéale, matérielle ou autre – que la décision attaquée causerait à cette dernière. Force est également de relever que les quelques éléments fournis en réplique par la recourante à cet égard (act. 8; v. supra consid. 1.2) demeurent très généraux. Les plus grands doutes existent en l'espèce quant à l'intérêt digne de protection de la recourante à attaquer la décision ici entreprise.</w:t>
      </w:r>
    </w:p>
    <w:p>
      <w:r>
        <w:t>Cette question peut toutefois demeurer indécise en l'espèce, dans la mesu- re où le recours se révèle manifestement mal fondé sur le fond, comme ce- la ressort des considérants qui suivent.</w:t>
      </w:r>
    </w:p>
    <w:p>
      <w:r>
        <w:rPr>
          <w:b/>
        </w:rPr>
        <w:t>E. 2.1</w:t>
      </w:r>
    </w:p>
    <w:p>
      <w:r>
        <w:t>Selon l'art. 36 al. 2 CPP, est compétente pour poursuivre les infractions commises au sein d'une entreprise au sens de l'art. 102 CP l'autorité du lieu où ladite entreprise a son siège. Cette autorité est également compé- tente lorsque la même procédure pour le même état de fait est aussi diri- gée contre une personne agissant au nom de l'entreprise (art. 36 al. 2 deuxième phrase CPP).</w:t>
      </w:r>
    </w:p>
    <w:p>
      <w:r>
        <w:t>En l'espèce, la plainte pénale déposée par la recourante dénonce principa- lement les manquements dont se seraient rendus personnellement cou- pables les dirigeants de G. SA, subsidiairement les manquements de G. SA en tant qu'entreprise, lesquels auraient conduit à la mort, en Colombie, du mari de la recourante (v. supra let. A).</w:t>
      </w:r>
    </w:p>
    <w:p>
      <w:r>
        <w:t>Il n'est, en l'état du dossier et sur le vu des éléments qui précèdent, pas contesté que l'autorité compétente pour poursuivre et juger la présente cause est celle du lieu où G. SA a son siège (act. 1, 5 et 8). Le litige soumis à l'autorité de céans a pour seule origine le fait que G. SA dispose de deux sièges sociaux, l'un à Y. (ZG) et l'autre à X. (VD), situation – tout à fait ex- ceptionnelle en droit suisse (v. XOUDIS, in Commentaire romand, Code civil I, 2010, no 3 ad art. 56 CC et les références citées en note de bas de page</w:t>
      </w:r>
    </w:p>
    <w:p>
      <w:r>
        <w:t>- 6 -</w:t>
      </w:r>
    </w:p>
    <w:p>
      <w:r>
        <w:t>6) – n'ayant pas été expressément envisagée par le législateur fédéral sous l'angle des règles applicables à la fixation du for.</w:t>
      </w:r>
    </w:p>
    <w:p>
      <w:r>
        <w:rPr>
          <w:b/>
        </w:rPr>
        <w:t>E. 2.2.1</w:t>
      </w:r>
    </w:p>
    <w:p>
      <w:r>
        <w:t>L'art. 41 al. 2 CPP aménage une voie de recours permettant aux parties de soumettre à l'autorité compétente l'attribution du for décidée par les minis- tères publics concernés. Cette règle découle de l'art. 30 al. 1 Cst. qui ga- 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in Commentaire romand, Code de procédure pénale suisse, 2011, no 4 ad art. 41 CPP). Il s'agit en d'autres termes d'éviter que le droit de l'intéressé à être jugé par un tribunal compétent soit violé.</w:t>
      </w:r>
    </w:p>
    <w:p>
      <w:r>
        <w:rPr>
          <w:b/>
        </w:rPr>
        <w:t>E. 2.2.2</w:t>
      </w:r>
    </w:p>
    <w:p>
      <w:r>
        <w:t>La démarche de la recourante s'inscrit précisément dans le cadre susmen- tionné, puisqu'elle s'en prend à l'attribution de for décidée d'entente entre le MP-ZG et le MP-VD. Il vient d'être vu que le but d'un tel recours est de permettre aux parties de soumettre à une autorité supérieure la décision d'un ministère public pour faire vérifier que le droit constitutionnel de l'inté- ressé à être jugé par un tribunal compétent n'est pas violé par ladite déci- sion.</w:t>
      </w:r>
    </w:p>
    <w:p>
      <w:r>
        <w:t>En l'espèce, le cas particulier de l'existence de deux sièges sociaux conduit au résultat – exceptionnel – selon lequel les autorités de poursuite pénale de deux cantons sont compétentes de par la loi pour se charger de la cause dénoncée par la recourante. Le droit constitutionnel à être jugé par un tribunal compétent (art. 30 al. 1 Cst.) évoqué plus haut est ainsi garanti, que la cause soit instruite et jugée par les autorités zougoises ou qu'elle le soit par celles du canton de Vaud.</w:t>
      </w:r>
    </w:p>
    <w:p>
      <w:r>
        <w:t>La décision par laquelle se sont finalement entendus le MP-ZG et le MP- VD n'avait en l'occurrence pas pour but d'éviter qu'une autorité incompé- tente de lege instruise et juge la cause. Elle n'est intervenue qu'aux fins de clarifier une situation procédurale – exceptionnelle – entre deux autorités manifestement compétentes pour poursuivre les faits dénoncés, lesquels, qui plus est, portent sur une infraction poursuivie d'office (v. intitulé de la plainte pénale du 5 mars 2012: "Strafanzeige wegen fahrlässiger Tötung durch Unterlassen").</w:t>
      </w:r>
    </w:p>
    <w:p>
      <w:r>
        <w:rPr>
          <w:b/>
        </w:rPr>
        <w:t>E. 2.2.3</w:t>
      </w:r>
    </w:p>
    <w:p>
      <w:r>
        <w:t>Il ressort de ce qui précède que la Cour de céans est en mesure de vérifier que la décision par laquelle se sont entendues les autorités de poursuite</w:t>
      </w:r>
    </w:p>
    <w:p>
      <w:r>
        <w:t>- 7 -</w:t>
      </w:r>
    </w:p>
    <w:p>
      <w:r>
        <w:t>pénale zougoise et vaudoise conduit à confier la cause à une autorité com- pétente de lege (art. 36 al. 2 CPP). Comme l'indique la recourante elle- même (act. 1, p. 7 no 21), il ne s'agit en l'espèce aucunement de la fixation d'un "autre for que celui prévu aux art. 31 à 37" tel que l'autorise l'art. 38 CPP à certaines conditions, de sorte qu'il n'y a pas lieu de s'attarder sur cette disposition. Pour la même raison, l'application de l'art. 31 al. 2 CPP proposée par la recourante (act. 1, p. 18 no 48 in fine) n'est pas pertinente.</w:t>
      </w:r>
    </w:p>
    <w:p>
      <w:r>
        <w:t>Le constat qui précède suffit à sceller le sort du recours sans qu'il faille se pencher sur l'hypothèse – non réalisée en l'espèce – dans laquelle les au- torités compétentes de lege auraient toutes deux décliné leur compétence.</w:t>
      </w:r>
    </w:p>
    <w:p>
      <w:r>
        <w:rPr>
          <w:b/>
        </w:rPr>
        <w:t>E. 3</w:t>
      </w:r>
    </w:p>
    <w:p>
      <w:r>
        <w:t>Le recours doit partant être rejeté, et ce dans la mesure de sa recevabilité.</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 (RFPPF; RS 173.713.162), ils seront fixés à CHF 1'500.-- pour la recourante, couverts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