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BG.2012.20 vom 27. Juni 2012</w:t>
      </w:r>
    </w:p>
    <w:p>
      <w:r>
        <w:t>Bundesstrafgericht, 2012-06-27, DE</w:t>
      </w:r>
    </w:p>
    <w:p>
      <w:r>
        <w:rPr>
          <w:b/>
        </w:rPr>
        <w:t xml:space="preserve">Quelle: </w:t>
      </w:r>
      <w:r>
        <w:t>https://mcp.opencaselaw.ch/entscheid/bstger_BG.2012.20</w:t>
      </w:r>
    </w:p>
    <w:p>
      <w:r>
        <w:t>FR: TPF BG.2012.20 du 27 juin 2012</w:t>
      </w:r>
    </w:p>
    <w:p>
      <w:r>
        <w:t>IT: TPF BG.2012.20 del 27 giugno 2012</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ist im Nor- malfall die Frist von zehn Tagen gemäss Art. 396 Abs. 1 StPO analog an- zuwenden (vgl. hierzu u. a. TPF 2011 94 E. 2.2). Die Behörden, welche be- rechtigt sind, ihren Kanton im Meinungsaustausch und im Verfahren vor der Beschwerdekammer zu vertreten, bestimmen sich nach dem jeweiligen kantonalen Recht (Art. 14 Abs. 4 StPO; vgl. hierzu KUHN, Basler Kommen- tar, Basel 2011, Art. 39 StPO N. 9 sowie Art. 40 StPO N. 10; SCHMID, Handbuch des schweizerischen Strafprozessrechts, Zürich/St. Gallen 2009, N. 488; GALLIANI/MARCELLINI, Codice svizzero di procedura penale [CPP] – Commentario, Zurigo/San Gallo 2010, n. 5 ad art. 40 CPP).</w:t>
      </w:r>
    </w:p>
    <w:p>
      <w:r>
        <w:rPr>
          <w:b/>
        </w:rPr>
        <w:t>E. 1.2</w:t>
      </w:r>
    </w:p>
    <w:p>
      <w:r>
        <w:t>Die Staatsanwaltschaft Basel-Stadt ist berechtigt, den Gesuchsteller bei in- terkantonalen Gerichtsstandskonflikten vor der Beschwerdekammer zu ver- treten (Art. 40 Abs. 2 StPO i.V.m. § 49 Abs. 2 des Gesetzes betreffend Wahl und Organisation der Gerichte sowie der Arbeitsverhältnisse des Ge- richtspersonals und der Staatsanwaltschaft des Kantons Basel-Stadt vom 27. Juni 1895 [Gerichtsorganisationsgesetz, GOG/BS; SG 154.100]). Be-</w:t>
      </w:r>
    </w:p>
    <w:p>
      <w:r>
        <w:t>- 4 -</w:t>
      </w:r>
    </w:p>
    <w:p>
      <w:r>
        <w:t>züglich des Kantons Basel-Landschaft gilt, dass der Erste Staatsanwalt oder die Erste Staatsanwältin die Staatsanwaltschaft nach aussen vertreten (§ 7 Abs. 2 lit. b des Einführungsgesetzes zur Schweizerischen Strafpro- zessordnung des Kantons Basel-Landschaft vom 12. März 2009 [EG StPO/BL, SGS 250]).</w:t>
      </w:r>
    </w:p>
    <w:p>
      <w:r>
        <w:rPr>
          <w:b/>
        </w:rPr>
        <w:t>E. 1.3</w:t>
      </w:r>
    </w:p>
    <w:p>
      <w:r>
        <w:t>Wie der Darstellung des Sachverhaltes zu entnehmen ist, erhielt der Ge- suchsteller am 2. Mai 2012 die negativ ausfallende Stellungnahme der auf Seiten des Gesuchsgegners zuständigen Behörde betreffend der Gerichts- standsanfrage vom 28. März 2012. Auf Grund dieser Stellungnahme muss- te davon ausgegangen werden, dass sich die Strafverfolgungsbehörden der beiden betroffenen Kantone über den Gerichtsstand nicht hatten eini- gen können. In jenem Zeitpunkt begann demzufolge die Frist von zehn Ta- gen (vgl. oben stehende E. 1.1) zu laufen, weshalb sich die Einreichung des Gesuchs am 15. Mai 2012 als verspätet erweist. Im Rahmen seines Gesuchs erwähnte der Gesuchsteller, ohne explizit auf die Fristenthematik Bezug zu nehmen, dass am 8. Mai 2012 (gemäss Akten am 7. Mai 2012) noch ein telefonischer Meinungsaustausch zwischen den betroffenen Be- hörden stattgefunden habe (act. 1, S. 1 f.). Dieser telefonische Kontakt ist jedoch im vorliegenden Fall für den Beginn des Fristenlaufs nicht Aus- schlag gebend bzw. vermochte die laufende Frist nicht zu unterbrechen (anders zu entscheiden würde grundsätzlich unerwünschte Verfahrensver- zögerungen nach sich ziehen; siehe hierzu den Beschluss des Bundes- strafgerichts BG.2011.34 vom 18. Oktober 2011, E. 2.1), nachdem die Po- sition der zuständigen Behörde auf Seiten des Gesuchsgegners in ihrer schriftlichen Stellungnahme eindeutig und abschliessend war. Anders zu entscheiden wäre die Frage unter Umständen in Fällen, wo die schriftliche Stellungnahme des Gesuchsgegners noch Verhandlungsspielraum bietet, der Fall aufgrund noch unklarer Faktenlage weiterer Erörterung bedarf oder aber während laufender Frist neue Fakten bekannt werden, welche die Be- urteilung der Gerichtsstandsfrage wesentlich beeinflussen. Vorliegend scheint keine solche Ausnahmesituation gegeben zu sein. Aus der Akten- notiz zum fraglichen Telefongespräch ergibt sich jedenfalls nichts Derarti- ges (Akten BS, Band 1, Faszikel "Allg. Teil"). Der Gesuchsteller geht im Rahmen seines Gesuchs – wie erwähnt – überhaupt nicht auf die Fristen- thematik ein. Damit ist auf die Eingabe des Gesuchstellers nach dem Ge- sagten gemäss der obgenannten Praxis der Beschwerdekammer des Bun- desstrafgerichts nicht einzutreten.</w:t>
      </w:r>
    </w:p>
    <w:p>
      <w:r>
        <w:rPr>
          <w:b/>
        </w:rPr>
        <w:t>E. 1.4</w:t>
      </w:r>
    </w:p>
    <w:p>
      <w:r>
        <w:t>Der Gesuchsteller ist damit für die Weiterführung des Verfahrens zustän- dig. Dieses Resultat ist auch gerechtfertigt, weil im Kanton Basel-Stadt zu- mindest ein räumlicher Anknüpfungspunkt zur Verfahrensführung gegeben</w:t>
      </w:r>
    </w:p>
    <w:p>
      <w:r>
        <w:t>- 5 -</w:t>
      </w:r>
    </w:p>
    <w:p>
      <w:r>
        <w:t>ist, gingen die ertrogenen Gelder doch dort auf dem Bankkonto des Haupt- täters ein; ein Umstand, der in einem internationalen Zuständigkeitsstreit seitens des Bundesgerichtes als genügender Anknüpfungspunkt für die Begründung der Zuständigkeit angesehen wurde (BGE 109 IV 1 E. 3c S. 3 f.). Nichts spricht dafür, im interkantonalen Verhältnis anders zu ent- scheiden.</w:t>
      </w:r>
    </w:p>
    <w:p>
      <w:r>
        <w:rPr>
          <w:b/>
        </w:rPr>
        <w:t>E. 2</w:t>
      </w:r>
    </w:p>
    <w:p>
      <w:r>
        <w:t>Es sind keine Gerichtskosten zu erheben (Art. 423 Abs. 1 StPO).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