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BG.2012.2 vom 16. März 2012</w:t>
      </w:r>
    </w:p>
    <w:p>
      <w:r>
        <w:t>Bundesstrafgericht, 2012-03-16, DE</w:t>
      </w:r>
    </w:p>
    <w:p>
      <w:r>
        <w:rPr>
          <w:b/>
        </w:rPr>
        <w:t xml:space="preserve">Quelle: </w:t>
      </w:r>
      <w:r>
        <w:t>https://mcp.opencaselaw.ch/entscheid/bstger_BG.2012.2</w:t>
      </w:r>
    </w:p>
    <w:p>
      <w:r>
        <w:t>FR: TPF BG.2012.2 du 16 mars 2012</w:t>
      </w:r>
    </w:p>
    <w:p>
      <w:r>
        <w:t>IT: TPF BG.2012.2 del 16 marzo 2012</w:t>
      </w:r>
    </w:p>
    <w:p>
      <w:pPr>
        <w:pStyle w:val="Heading2"/>
      </w:pPr>
      <w:r>
        <w:t>Regeste</w:t>
      </w:r>
    </w:p>
    <w:p>
      <w:r>
        <w:t>Anfechtung des Gerichtsstands (Art. 41 Abs. 2 StPO).</w:t>
      </w:r>
    </w:p>
    <w:p>
      <w:pPr>
        <w:pStyle w:val="Heading2"/>
      </w:pPr>
      <w:r>
        <w:t>Erwägungen</w:t>
      </w:r>
    </w:p>
    <w:p>
      <w:r>
        <w:rPr>
          <w:b/>
        </w:rPr>
        <w:t>E. 1.1</w:t>
      </w:r>
    </w:p>
    <w:p>
      <w:r>
        <w:t>Will eine Partei die Zuständigkeit der mit dem Strafverfahren befassten Be- hörde anfechten, so hat sie dieser unverzüglich die Überweisung des Falles an die zuständige Strafbehörde zu beantragen (Art. 41 Abs. 1 StPO). Die mit dem Antrag befasste Behörde hat gegebenenfalls einen Meinungsaustausch im Sinne von Art. 39 Abs. 2 StPO einzuleiten oder direkt eine ihre eigene Zuständigkeit bestätigende Verfügung zu erlassen, welche mit Beschwerde angefochten werden kann (vgl. hierzu FINGERHUTH/LIEBER, Kommentar zur Schweizerischen Strafprozessordnung [StPO], Zürich/Basel/Genf 2010, Art. 41 StPO N. 4 mit Hinweis auf SCHMID, Praxiskommentar, Zürich/St. Gal- len 2009, Art. 41 StPO N. 3). Gegen eine von den am allfälligen Meinungs- austausch beteiligten Staatsanwaltschaften getroffene Entscheidung über den Gerichtsstand können sich die Parteien innert zehn Tagen beschweren (Art. 41 Abs. 2 StPO). Zuständig zur Beurteilung entsprechender, Fragen der interkantonalen Zuständigkeit betreffender Beschwerden ist die Beschwer-</w:t>
      </w:r>
    </w:p>
    <w:p>
      <w:r>
        <w:t>- 3 -</w:t>
      </w:r>
    </w:p>
    <w:p>
      <w:r>
        <w:t>dekammer des Bundesstrafgerichts (Art. 41 Abs. 2 i.V.m. Art. 40 Abs. 2 StPO und Art. 37 Abs. 1 StBOG).</w:t>
      </w:r>
    </w:p>
    <w:p>
      <w:r>
        <w:rPr>
          <w:b/>
        </w:rPr>
        <w:t>E. 1.2</w:t>
      </w:r>
    </w:p>
    <w:p>
      <w:r>
        <w:t>Der Beschwerdeführer ist als beschuldigte Person Partei des Strafverfahrens (Art. 104 Abs. 1 lit. a. StPO) und daher grundsätzlich zur Einreichung einer Beschwerde gegen eine Gerichtsstandverfügung legitimiert. Mit der Abtre- tungsverfügung der Staatsanwaltschaft TG vom 9. Januar 2012 liegt ein taugliches Anfechtungsobjekt vor. Aus den Akten ist nicht ersichtlich, dass der Beschwerdeführer vor dem Erlass der Abtretungsverfügung Kenntnis von Verhandlungen über den Gerichtsstand zwischen dem Kanton Thurgau und dem Kanton Zürich hatte, weswegen er sich dagegen auch nicht zu einem früheren Zeitpunkt hätte zur Wehr setzen, bzw. einen diesbezüglichen An- trag hätte stellen können. Die zehntägige Beschwerdefrist nach Art. 41 Abs. 2 StPO wurde eingehalten. Gemäss dem Gesagten ist auf die Be- schwerde somit einzutreten.</w:t>
      </w:r>
    </w:p>
    <w:p>
      <w:r>
        <w:rPr>
          <w:b/>
        </w:rPr>
        <w:t>E. 2.1</w:t>
      </w:r>
    </w:p>
    <w:p>
      <w:r>
        <w:t>Dem Beschwerdeführer wird vorgeworfen, den Tatbestand der Rassendis- kriminierung durch einen von ihm verfassten Artikel in der Zeitschrift „B.“ er- füllt zu haben (act. 1/3). Die Straftat der Rassendiskriminierung stellt kein Mediendelikt im Sinne von Art. 28 StGB dar (CORBOZ, Les infractions en droit suisse, Volume II, 3. Aufl., Bern 2010, S. 381 N. 39; MOSER, Basler Kommentar, Basel 2011, Art. 35 StPO N. 5 ; BGE 125 IV 206 E. 3; 126 IV 176 E. 2). Art. 35 StPO, der einen besonderen Gerichtsstand bei Straftaten durch Medien vorsieht, kann hier somit nicht angewendet werden. Gemäss Art. 31 Abs. 1 StPO sind für die Verfolgung und Beurteilung einer Straftat die Behörden des Ortes zuständig, an dem die Tat verübt worden ist. Art. 31 StPO setzt sich mit der Festlegung des Gerichtsstandes für eine Einzeltat eines Einzeltäters auseinander. Der Gerichtsstand des Ortes, an dem die Tat verübt worden ist (forum delicti commissi), geht allen anderen möglichen Gerichtsständen vor (BARTETZKO, Basler Kommentar, Basel 2011, Art. 31 StPO N. 8; SCHMID, Handbuch des schweizerischen Strafpro- zessrechts, Zürich/St. Gallen 2009, N. 448; NAY/THOMMEN, Basler Kom- mentar, Basel 2007, Art. 340 StGB N. 1; FINGERHUTH/LIEBER, a.a.O., Art. 31 StPO N. 12). Für die Kasuistik kann auf die Rechtsprechung zu Art. 340 aStGB, welcher durch Art. 31 StPO ersetzt wurde, zurückgegriffen werden (BARTETZKO, a.a.O., Art. 31 StPO N. 7). Ist die Straftat an mehreren Orten verübt worden oder ist der Erfolg an mehreren Orten eingetreten, so sind die Behörden des Ortes zuständig, an dem zuerst Verfolgungshand- lungen vorgenommen worden sind (Art. 31 Abs. 2 StPO).</w:t>
      </w:r>
    </w:p>
    <w:p>
      <w:r>
        <w:t>- 4 -</w:t>
      </w:r>
    </w:p>
    <w:p>
      <w:r>
        <w:rPr>
          <w:b/>
        </w:rPr>
        <w:t>E. 2.2</w:t>
      </w:r>
    </w:p>
    <w:p>
      <w:r>
        <w:t>Der Tatbestand der Rassendiskriminierung ist erst dann erfüllt, wenn die verfolgte Tathandlung öffentlich begangen wurde (SCHLEIMINGER METTLER, Basler Kommentar, Basel 2007, Art. 261bis StGB N. 21; BGE 133 IV 308 E. 8.3). Im vorliegenden Fall ist für die Bestimmung des Gerichtsstandes entscheidend, dass die Tathandlung in der Veröffentlichung des besagten Zeitungsartikels in der Zeitung "B.“ besteht. Diese Zeitschrift wird von der B. Verlags AG mit Sitz in U., Kanton Zürich, herausgegeben. Der Tatort im Sinne von Art. 31 StPO liegt folglich im Kanton Zürich. Die Staatsanwalt- schaft Zürich ist somit für die Verfolgung der Tat zuständig.</w:t>
      </w:r>
    </w:p>
    <w:p>
      <w:r>
        <w:rPr>
          <w:b/>
        </w:rPr>
        <w:t>E. 2.3</w:t>
      </w:r>
    </w:p>
    <w:p>
      <w:r>
        <w:t>Gemäss der Abtretungsverfügung der Staatsanwaltschaft Thurgau wurde das Verfahren gestützt auf Art. 31 Abs. 2 StPO abgetreten (act. 3.1). Ist die Straftat an mehreren Orten verübt worden oder ist der Erfolg an mehreren Orten eingetreten, so sind, gemäss Art. 31 Abs. 2 StPO, die Behörden des Ortes zuständig, an dem zuerst Verfolgungshandlungen vorgenommen worden sind. Da der Erfolgsort nur Gerichtsstand sein kann wenn der Handlungsort nicht in der Schweiz liegt (SCHMID, a.a.O., N. 448 f.), müsste man, um die Zuständigkeit des Kantons Zürich mittels dieser Norm zu be- gründen, davon ausgehen, dass die Straftat an mehreren Orten ausgeführt wurde und die Staatsanwaltschaft ZH die erste Verfolgungshandlung vor- genommen hat. Die Voraussetzungen des Art. 31 Abs. 2 StPO müssen hier jedoch nicht geprüft werden, da festgestellt wurde, dass die Staatanwalt- schaft Zürich bereits nach Abs. 1 des besagten Artikels zuständig ist und diese Gerichtstandsregel allen anderen vorgeht (vgl. zuvor Ziff. 2.2).</w:t>
      </w:r>
    </w:p>
    <w:p>
      <w:r>
        <w:rPr>
          <w:b/>
        </w:rPr>
        <w:t>E. 2.4</w:t>
      </w:r>
    </w:p>
    <w:p>
      <w:r>
        <w:t>Der Beschwerdeführer bringt sinngemäss vor, dass das Verfahren im Kan- ton Thurgau stattfinden sollte, da er dort seinen Wohnsitz habe. Ausserdem sei die Bevölkerung des Kantons Thurgau an einem Verfahren in ihrem Kanton interessiert, da er als Präsident einer kantonalen Partei angeklagt sei (act. 1/3). Diese beiden Beschwerdepunkte stellen keine triftigen Grün- de dar, die ein Abweichen vom gesetzlichen Gerichtsstand gemäss Art. 40 Abs. 3 StPO erlauben würden (BGE 129 IV 202 E.2).</w:t>
      </w:r>
    </w:p>
    <w:p>
      <w:r>
        <w:rPr>
          <w:b/>
        </w:rPr>
        <w:t>E. 3</w:t>
      </w:r>
    </w:p>
    <w:p>
      <w:r>
        <w:t>Die Beschwerde erweist sich nach dem Gesagten als unbegründet und ist abzuweisen.</w:t>
      </w:r>
    </w:p>
    <w:p>
      <w:r>
        <w:rPr>
          <w:b/>
        </w:rPr>
        <w:t>E. 4</w:t>
      </w:r>
    </w:p>
    <w:p>
      <w:r>
        <w:t>Bei diesem Ausgang des Verfahrens hat der Beschwerdeführer die Ge- richtskosten zu tragen (Art. 428 Abs. 1 StPO). Die Gerichtsgebühr wird auf Fr. 300.-- festgesetzt (Art. 73 StBOG i.V.m. Art. 5 und 8 Abs. 1 des Regle- ments des Bundesstrafgerichts vom 31. August 2010 über die Kosten, Ge-</w:t>
      </w:r>
    </w:p>
    <w:p>
      <w:r>
        <w:t>- 5 -</w:t>
      </w:r>
    </w:p>
    <w:p>
      <w:r>
        <w:t>bühren und Entschädigungen in Bundesstrafverfahren [BStKR; SR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