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BG.2012.18 vom 19. Juli 2012</w:t>
      </w:r>
    </w:p>
    <w:p>
      <w:r>
        <w:t>Bundesstrafgericht, 2012-07-19, DE</w:t>
      </w:r>
    </w:p>
    <w:p>
      <w:r>
        <w:rPr>
          <w:b/>
        </w:rPr>
        <w:t xml:space="preserve">Quelle: </w:t>
      </w:r>
      <w:r>
        <w:t>https://mcp.opencaselaw.ch/entscheid/bstger_BG.2012.18</w:t>
      </w:r>
    </w:p>
    <w:p>
      <w:r>
        <w:t>FR: TPF BG.2012.18 du 19 juillet 2012</w:t>
      </w:r>
    </w:p>
    <w:p>
      <w:r>
        <w:t>IT: TPF BG.2012.18 del 19 luglio 2012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19. Juli 2012 Beschwerdekammer Besetzung</w:t>
      </w:r>
    </w:p>
    <w:p>
      <w:r>
        <w:t>Bundesstrafrichter Stephan Blättler, Vorsitz, Emanuel Hochstrasser und Giorgio Bomio, Gerichtsschreiberin Marion Schmid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1. KANTON AARGAU,</w:t>
      </w:r>
    </w:p>
    <w:p>
      <w:r>
        <w:t>2. KANTON BASEL-LANDSCHAFT, Beschwerdegegner</w:t>
      </w:r>
    </w:p>
    <w:p>
      <w:r>
        <w:t>Gegenstand</w:t>
      </w:r>
    </w:p>
    <w:p>
      <w:r>
        <w:t>Anfechtung des Gerichtsstands (Art. 41 Abs. 2 StPO)</w:t>
      </w:r>
    </w:p>
    <w:p>
      <w:r>
        <w:t>Rückzug der Beschwerde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BG.2012.18</w:t>
      </w:r>
    </w:p>
    <w:p>
      <w:r>
        <w:t>- 2 -</w:t>
      </w:r>
    </w:p>
    <w:p>
      <w:r>
        <w:t>Die Beschwerdekammer zieht in Erwägung, dass:</w:t>
      </w:r>
    </w:p>
    <w:p>
      <w:r>
        <w:t>- die Staatsanwaltschaft Rheinfelden-Laufenburg mit Übernahmeverfügung vom 30. April 2012 das bisher durch die Staatsanwaltschaft Rheinfelden- Laufenburg gegen A. geführte Verfahren übernahm (act. 1.1);</w:t>
      </w:r>
    </w:p>
    <w:p>
      <w:r>
        <w:t>- A. dagegen mit Beschwerde vom 8. Mai 2012 an die Beschwerdekammer des Bundesstrafgerichts gelangte (act. 1);</w:t>
      </w:r>
    </w:p>
    <w:p>
      <w:r>
        <w:t>- A. mit Schreiben vom 14. Mai 2012 den Rückzug seiner Beschwerde erklärte (act. 2);</w:t>
      </w:r>
    </w:p>
    <w:p>
      <w:r>
        <w:t>- wer ein Rechtsmittel ergriffen hat, dieses bei schriftlichen Verfahren bis zum Abschluss des Schriftenwechsels und allfälliger Beweis- oder Aktenergän- zungen zurückziehen kann (Art. 386 Abs. 2 lit. b StPO);</w:t>
      </w:r>
    </w:p>
    <w:p>
      <w:r>
        <w:t>- die Rückzugserklärung (Abstand) den Rechtsstreit beendet (vgl. CALAME; Commentaire romand, Bâle 2011, n° 4 ad art. 386 CPP);</w:t>
      </w:r>
    </w:p>
    <w:p>
      <w:r>
        <w:t>- das vorliegende Beschwerdeverfahren somit als erledigt von der Geschäfts- kontrolle abzuschreiben ist (vgl. ZIEGLER, Basler Kommentar, Basel 2011, Art. 386 StPO N. 4);</w:t>
      </w:r>
    </w:p>
    <w:p>
      <w:r>
        <w:t>- die Partien die Kosten des Beschwerdeverfahrens nach Massgabe ihres Ob- siegens oder Unterliegens tragen, wobei als unterliegend auch die Partei gilt, welche die Beschwerde zurückzieht (vgl. Art. 428 Abs. 1 StPO);</w:t>
      </w:r>
    </w:p>
    <w:p>
      <w:r>
        <w:t>- der Beschwerdeführer demnach kostenpflichtig wird;</w:t>
      </w:r>
    </w:p>
    <w:p>
      <w:r>
        <w:t>- die Gerichtsgebühr für das vorliegende Verfahren auf das reglementarische Minimum von Fr. 200.-- festzusetzen ist (Art. 73 StBOG und Art. 5 und 8 Abs. 1 des Reglements des Bundesstrafgerichts vom 31. August 2010 über die Kosten, Gebühren und Entschädigungen in Bundesverfahren [BStKR; SR 173.713.162]).</w:t>
      </w:r>
    </w:p>
    <w:p>
      <w:r>
        <w:t>- 3 -</w:t>
      </w:r>
    </w:p>
    <w:p>
      <w:r>
        <w:t>Demnach erkennt die Beschwerdekammer: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19. Juli 2012</w:t>
      </w:r>
    </w:p>
    <w:p>
      <w:r>
        <w:t>Im Namen der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A. - Kanton Aargau - Kanton Basel-Landschaft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