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BG.2012.17 vom 21. Juni 2012</w:t>
      </w:r>
    </w:p>
    <w:p>
      <w:r>
        <w:t>Bundesstrafgericht, 2012-06-21, DE</w:t>
      </w:r>
    </w:p>
    <w:p>
      <w:r>
        <w:rPr>
          <w:b/>
        </w:rPr>
        <w:t xml:space="preserve">Quelle: </w:t>
      </w:r>
      <w:r>
        <w:t>https://mcp.opencaselaw.ch/entscheid/bstger_BG.2012.17</w:t>
      </w:r>
    </w:p>
    <w:p>
      <w:r>
        <w:t>FR: TPF BG.2012.17 du 21 juin 2012</w:t>
      </w:r>
    </w:p>
    <w:p>
      <w:r>
        <w:t>IT: TPF BG.2012.17 del 21 giugno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ist im Normalfall die Frist von zehn Tagen gemäss Art. 396 Abs. 1 StPO analog anzuwenden (TPF 2011.94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t>- 4 -</w:t>
      </w:r>
    </w:p>
    <w:p>
      <w:r>
        <w:rPr>
          <w:b/>
        </w:rPr>
        <w:t>E. 1.2</w:t>
      </w:r>
    </w:p>
    <w:p>
      <w:r>
        <w:t>Die Staatsanwaltschaft Basel-Landschaft ist berechtigt, den Gesuchsteller in interkantonalen Gerichtsstandskonflikten vor der Beschwerdekammer des Bundesstrafgerichts zu vertreten (Art. 40 Abs. 2 StPO i.V.m. § 2 der Dienstordnung der Staatsanwaltschaft des Kantons Basel-Landschaft vom 8. November 2011 [SGS 145.17] und § 8 EG StPO vom 12. März 2009 [SGS 250]). Bezüglich des Gesuchsgegners steht diese Befugnis der Staatsanwaltschaft Basel-Stadt zu (§ 49 des Gesetzes betreffend Wahl und Organisation der Gerichte sowie der Arbeitsverhältnisse des Gerichtsper- sonals und der Staatsanwaltschaft des Kantons Basel-Stadt vom 27. Juni 1895 [Gerichtsorganisationsgesetz, GOG/BS; SG 154.100]). Die übrigen Eintretensvoraussetzungen geben vorliegend zu keinen weiteren Bemer- kungen Anlass, weshalb auf das Gesuch einzutreten ist.</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zuletzt die Beschlüsse des Bundesstrafgerichts BG.2011.49 vom 19. Januar 2012, E. 2.1; BG.2011.33 vom 28. September 2011, E. 2.2.1; BG.2011.4 vom 10. August 2011, E. 2.2.2). Hat ein Mittäter ausser den in Mittäterschaft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 handlungen bildeten (vgl. hierzu zuletzt den Beschluss des Bundesstrafge- richts BG.2011.49 vom 19. Januar 2012, E. 2.1; siehe auch MOSER, Basler Kommentar, Basel 2011, Art. 33 StPO N. 13).</w:t>
      </w:r>
    </w:p>
    <w:p>
      <w:r>
        <w:t>- 5 -</w:t>
      </w:r>
    </w:p>
    <w:p>
      <w:r>
        <w:rPr>
          <w:b/>
        </w:rPr>
        <w:t>E. 2.2</w:t>
      </w:r>
    </w:p>
    <w:p>
      <w:r>
        <w:t>Nach bundesgerichtlicher Rechtsprechung ist Mittäter, wer bei der Ent- schliessung, Planung oder Ausführung eines Deliktes vorsätzlich und in massgebender Weise mit anderen Tätern zusammenwirkt, so dass er als Hauptbeteiligter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Mittäterschaft ist dabei jede arbeitsteilige, für den Erfolg wesentliche Mitwirkung im Ausführungsstadium (BGE 120 IV 17 E. 2d S. 23; 118 IV 397 E. 2b S. 400). Ein Gehilfe leistet zu einem Verbrechen oder Vergehen vorsätzlich Hilfe, wobei im Unterschied zu Täter und Mittä- 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erleichtert. Die Erfolgschance der Haupttat muss sich durch die Hilfeleistung nachweisbar erhöhen. Nicht erforderlich ist, dass es ohne die Beihilfe nicht zur Tat gekommen wäre (BGE 129 IV 124 E. 3.2; 121 IV 109 E. 3a S. 119). Bei der Anwendung von Art. 19 BetmG sind im Interesse einer vernünftigen Begrenzung der strafrechtlichen Ver- antwortlichkeit die Anforderungen an die Annahme einer Mittäterschaft eher hoch anzusetzen. Mittäterschaft ist nur dann zu bejahen, wenn der Wieder- verkäufer von seinem Lieferanten mehr als nur betreffend den blossen Be- zug der Ware wesentlich abhängig ist oder nach dessen Weisungen han- delt, und ihm dadurch die alleinige Tatherrschaft für die von ihm getätigten (Weiter-) Verkäufe fehlt (vgl. zum Ganzen BGE 118 IV 397 E. 2c mit weite- ren Hinweisen). Mittäter im Sinne von Art. 33 Abs. 2 StPO sind in der Regel Personen, die auf der gleichen Hierarchiestufe im Drogenhandel tätig sind (vgl. Entscheid des Bundesstrafgerichts BG.2005.15 vom 16. Juni 2005 E. 3.1 und 3.2 sowie Ziff. 16 der Gerichtsstandsempfehlungen der KSBS vom 26. November 2009).</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a.a.O., Art. 34 StPO N. 11; GUIDON/BÄNZIGER, Die aktuelle Rechtsprechung des Bundesstrafgerichts zum interkantonalen Ge-</w:t>
      </w:r>
    </w:p>
    <w:p>
      <w:r>
        <w:t>- 6 -</w:t>
      </w:r>
    </w:p>
    <w:p>
      <w:r>
        <w:t>richtsstand in Strafsachen, Jusletter 21. Mai 2007, [Rz 25] m.w.H.; vgl. nebst anderen den Entscheid des Bundesstrafgerichts BG.2010.12 vom 8. September 2010, E. 2.2 m.w.H.). Es gilt der Grundsatz „in dubio pro du- riore“, wonach im Zweifelsfall auf den für den Beschuldigten ungünstigeren Sachverhalt abzustellen bzw. das schwerere Delikt anzunehmen ist (GUI- DON/BÄNZIGER, a.a.O., [Rz 42] m.w.H.).</w:t>
      </w:r>
    </w:p>
    <w:p>
      <w:r>
        <w:rPr>
          <w:b/>
        </w:rPr>
        <w:t>E. 3.1</w:t>
      </w:r>
    </w:p>
    <w:p>
      <w:r>
        <w:t>Vorliegend stellt sich vorab die Frage, ob A. und B. gemäss heutiger Akten- lage mutmasslich zusammengewirkt haben und ob sie allenfalls durch eine einzige Behörde zu verfolgen und beurteilen sind.</w:t>
      </w:r>
    </w:p>
    <w:p>
      <w:r>
        <w:rPr>
          <w:b/>
        </w:rPr>
        <w:t>E. 3.2</w:t>
      </w:r>
    </w:p>
    <w:p>
      <w:r>
        <w:t>Der Gesuchsteller geht davon aus, dass A. und B. rund um den Drogen- handel eng zusammen gearbeitet hätten. B. habe von Serbien aus den Transport der Betäubungsmittel durch unbekannte Lieferanten in die Schweiz sowie innerhalb der Schweiz und in die Region Basel organisiert. Dabei habe er A. von Serbien aus Anweisungen bezüglich der Drogen- mengen und -übergaben gegeben. Die Abnehmer seien schliesslich ent- weder durch B. oder A. kontaktiert, zu den Treffpunkten beordert und belie- fert worden (act. 1, Rechtliches, Ziff. 2).</w:t>
      </w:r>
    </w:p>
    <w:p>
      <w:r>
        <w:t>Aus den Telefonkontrollen geht hervor, dass B. und A. über den Zeitraum vom 17. November 2011 bis 2. Februar 2012 sehr intensiv und beinahe täglich in telefonischem Kontakt standen (Verfahrensakten Basel- Landschaft Beilage 6). Die Gesprächsinhalte der durchgeführten Telefon- überwachungen legen den Schluss nahe, dass B. von Serbien aus Drogen- lieferungen mit A. in der Schweiz arrangierte, wobei A. mutmasslich auf Anweisungen B. die Drogen in der Schweiz an unbekannte Abnehmer lie- ferte bzw. liefern sollte. Damit stehen und fallen die besagten Drogenliefe- rungen mit dem Tatbeitrag des jeweils anderen, was darauf schliessen lässt, dass die beiden Beschuldigten bei der Ausführung der fraglichen Lie- ferungen auf gleicher Hierarchiestufe durch eine zumindest minimale, aber für den Erfolg unerlässliche Arbeitsteilung zusammenwirkten. Eine blosse Käufer-Verkäuferbeziehung, welche – im Sinne der oben zitierten Recht- sprechung (Ziff. 2.2) – gegen das Vorliegen einer Mittäterschaft sprechen würde, liegt jedenfalls nicht vor.</w:t>
      </w:r>
    </w:p>
    <w:p>
      <w:r>
        <w:t>Entgegen der Ansicht des Gesuchsgegners vermag auch der Umstand, dass A. und B. getrennte Kassen geführt haben sollen, nichts daran zu än- dern, dass sie mutmasslich gemeinsam – der eine von Serbien, der andere von der Schweiz aus – Drogengeschäfte organisierten. Auch dass A. nebst</w:t>
      </w:r>
    </w:p>
    <w:p>
      <w:r>
        <w:t>- 7 -</w:t>
      </w:r>
    </w:p>
    <w:p>
      <w:r>
        <w:t>B. noch mit anderen Personen, insbesondere aus Holland, Drogengeschäf- te abgewickelt haben soll, ändert daran nichts.</w:t>
      </w:r>
    </w:p>
    <w:p>
      <w:r>
        <w:rPr>
          <w:b/>
        </w:rPr>
        <w:t>E. 3.3</w:t>
      </w:r>
    </w:p>
    <w:p>
      <w:r>
        <w:t>In Anwendung des Grundsatzes "in dubio pro duriore" kann nach dem Ge- sagten eine mittäterschaftliche Beteiligung von A. und B. am Drogenhandel nicht als haltlos oder als sicher ausgeschlossen bezeichnet werden. Das Gesuch erweist sich demnach als begründet, und es sind daher aufgrund von Art. 33 Abs. 2 StPO die Strafverfolgungsbehörden des Gesuchsgeg- ners für berechtigt und verpflichtet zu erklären, die A. zur Last gelegten De- likte zu verfolgen und zu beurteilen. Daraus folgt ohne weiteres, dass die Strafverfolgungsbehörden des Gesuchsgegners nach wie vor berechtigt und verpflichtet sind, die A. und dessen Mittäter C. vorgeworfenen Erpres- sungshandlungen zu verfolgen (Art. 34 Abs. 1 StPO).</w:t>
      </w:r>
    </w:p>
    <w:p>
      <w:r>
        <w:rPr>
          <w:b/>
        </w:rPr>
        <w:t>E. 4</w:t>
      </w:r>
    </w:p>
    <w:p>
      <w:r>
        <w:t>Es werden keine Gerichtskosten erhoben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