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BG.2012.12 vom 5. Juni 2012</w:t>
      </w:r>
    </w:p>
    <w:p>
      <w:r>
        <w:t>Bundesstrafgericht, 2012-06-05, DE</w:t>
      </w:r>
    </w:p>
    <w:p>
      <w:r>
        <w:rPr>
          <w:b/>
        </w:rPr>
        <w:t xml:space="preserve">Quelle: </w:t>
      </w:r>
      <w:r>
        <w:t>https://mcp.opencaselaw.ch/entscheid/bstger_BG.2012.12</w:t>
      </w:r>
    </w:p>
    <w:p>
      <w:r>
        <w:t>FR: TPF BG.2012.12 du 5 juin 2012</w:t>
      </w:r>
    </w:p>
    <w:p>
      <w:r>
        <w:t>IT: TPF BG.2012.12 del 5 giugno 2012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5. Juni 2012 Beschwerdekammer Besetzung</w:t>
      </w:r>
    </w:p>
    <w:p>
      <w:r>
        <w:t>Bundesstrafrichter Stephan Blättler, Vorsitz, Emanuel Hochstrasser und Nathalie Zufferey Franciolli,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1. KANTON SCHWYZ, Oberstaatsanwaltschaft des Kantons Schwyz,</w:t>
      </w:r>
    </w:p>
    <w:p>
      <w:r>
        <w:t>2. KANTON ZÜRICH, Oberstaatsanwaltschaft des Kantons Zürich,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BG.2012.12</w:t>
      </w:r>
    </w:p>
    <w:p>
      <w:r>
        <w:t>- 2 -</w:t>
      </w:r>
    </w:p>
    <w:p>
      <w:r>
        <w:t>Die Beschwerdekammer hält fest, dass:</w:t>
      </w:r>
    </w:p>
    <w:p>
      <w:r>
        <w:t>- die Staatsanwaltschaft Innerschwyz mit Verfügung vom 11. April 2012 das bisher durch die Staatsanwaltschaft Limmattal / Albis gegen A. geführte Strafverfahren übernahm (act. 1.2);</w:t>
      </w:r>
    </w:p>
    <w:p>
      <w:r>
        <w:t>- A. hiergegen am 17. April 2012 beschwerdeweise an die Beschwerde- kammer des Bundesstrafgerichts gelangte (act. 1);</w:t>
      </w:r>
    </w:p>
    <w:p>
      <w:r>
        <w:t>- die Oberstaatsanwaltschaft des Kantons Schwyz mit Schreiben vom 24. April 2012 und die Oberstaatsanwaltschaft des Kantons Zürich mit Schreiben vom 3. Mai 2012 ihre Beschwerdeantworten einreichten (act. 3 und 4);</w:t>
      </w:r>
    </w:p>
    <w:p>
      <w:r>
        <w:t>- innerhalb der angesetzten Frist zur Erstattung der Replik A. mit Schreiben vom 21. Mai 2012 den Rückzug seiner Beschwerde erklärte (act. 6).</w:t>
      </w:r>
    </w:p>
    <w:p>
      <w:r>
        <w:t>Die Beschwerdekammer zieht in Erwägung, dass:</w:t>
      </w:r>
    </w:p>
    <w:p>
      <w:r>
        <w:t>- wer ein Rechtsmittel ergriffen hat, dieses bei schriftlichen Verfahren bis zum Abschluss des Schriftenwechsels und allfälliger Beweis- oder Akten- ergänzungen zurückziehen kann (Art. 386 Abs. 2 lit. b StPO);</w:t>
      </w:r>
    </w:p>
    <w:p>
      <w:r>
        <w:t>- die Rückzugserklärung (Abstand) den Rechtsstreit beendet (in diesem Sin- ne CALAME, Commentaire romand, Bâle 2011, n° 4 ad art. 386 CPP);</w:t>
      </w:r>
    </w:p>
    <w:p>
      <w:r>
        <w:t>- das Beschwerdeverfahren demzufolge als erledigt von der Geschäftskon- trolle abgeschrieben werden kann (in diesem Sinne ZIEGLER, Basler Kom- mentar, Basel 2011, Art. 386 StPO N. 4);</w:t>
      </w:r>
    </w:p>
    <w:p>
      <w:r>
        <w:t>- die Parteien die Kosten des Beschwerdeverfahrens nach Massgabe ihres Obsiegens oder Unterliegens tragen, wobei als unterliegend auch die Par- tei gilt, die die Beschwerde zurückzieht (vgl. Art. 428 Abs. 1 StPO);</w:t>
      </w:r>
    </w:p>
    <w:p>
      <w:r>
        <w:t>- demnach der Beschwerdeführer vorliegend kostenpflichtig wird;</w:t>
      </w:r>
    </w:p>
    <w:p>
      <w:r>
        <w:t>- die Gerichtsgebühr für das vorliegende Verfahren auf das reglementarische Minimum von Fr. 200.-- festzusetzen ist (Art. 73 StBOG und Art. 5 und 8 Abs. 1 des Reglements des Bundesstrafgerichts vom 31. August 2010 über die Kosten, Gebühren und Entschädigungen in Bundesstrafverfahren [BStKR; SR 173.713.162]).</w:t>
      </w:r>
    </w:p>
    <w:p>
      <w:r>
        <w:t>- 3 -</w:t>
      </w:r>
    </w:p>
    <w:p>
      <w:r>
        <w:t>und erkennt: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5. Juni 2012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Oberstaatsanwaltschaft des Kantons Schwyz - Oberstaatsanwaltschaft des Kantons Zürich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