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BG.2012.11 vom 16. April 2012</w:t>
      </w:r>
    </w:p>
    <w:p>
      <w:r>
        <w:t>Bundesstrafgericht, 2012-04-16, DE</w:t>
      </w:r>
    </w:p>
    <w:p>
      <w:r>
        <w:rPr>
          <w:b/>
        </w:rPr>
        <w:t xml:space="preserve">Quelle: </w:t>
      </w:r>
      <w:r>
        <w:t>https://mcp.opencaselaw.ch/entscheid/bstger_BG.2012.11</w:t>
      </w:r>
    </w:p>
    <w:p>
      <w:r>
        <w:t>FR: TPF BG.2012.11 du 16 avril 2012</w:t>
      </w:r>
    </w:p>
    <w:p>
      <w:r>
        <w:t>IT: TPF BG.2012.11 del 16 aprile 2012</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 nigung (Art. 39 Abs. 2 StPO). Können sich die Strafverfolgungsbehörden verschiedener Kantone über den Gerichtsstand nicht einigen, so unterbrei- tet die Staatsanwaltschaft des Kantons, der zuerst mit der Sache befasst war, die Frage unverzüglich, in jedem Fall vor der Anklageerhebung, der Beschwerdekammer des Bundesstrafgerichts zum Entscheid (Art. 40 Abs. 2 StPO i.V.m. Art. 37 Abs. 1 StBOG). Hinsichtlich der Frist, innerhalb welcher die ersuchende Behörde ihr Gesuch einzureichen hat, hielt die Be- schwerdekammer fest, dass im Normalfall auf die Frist von zehn Tagen gemäss Art. 396 Abs. 1 StPO, welche auch im Beschwerdeverfahren nach den Bestimmungen der Art. 393 ff. StPO Anwendung findet, verwiesen werden kann, wobei ein Abweichen von dieser Frist nur unter besonderen, vom jeweiligen Gesuchsteller zu spezifizierenden Umständen möglich ist (vgl. hierzu u.a. TPF BG.2011.7 vom 17. Juni 2011 E. 2.2, zur Publikation vorgesehen). Die Behörden, welche berechtigt sind, ihren Kanton im Mei- nungsaustausch und im Verfahren vor der Beschwerdekammer zu vertre- ten, bestimmen sich nach dem jeweiligen kantonalen Recht (Art. 14 Abs. 4 StPO; vgl. hierzu KUHN, Basler Kommentar, Basel 2011, Art. 39 StPO N. 9 sowie Art. 40 StPO N. 10; SCHMID, Handbuch des schweizerischen Straf- prozessrechts, Zürich/St. Gallen 2009, N. 488; GALLIANI/MARCELLINI, Codi- ce svizzero di procedura penale [CPP] – Commentario, Zurigo/San Gal- lo 2010, n. 5 ad art. 40 CPP).</w:t>
      </w:r>
    </w:p>
    <w:p>
      <w:r>
        <w:rPr>
          <w:b/>
        </w:rPr>
        <w:t>E. 1.2</w:t>
      </w:r>
    </w:p>
    <w:p>
      <w:r>
        <w:t>Der Erste Staatsanwalt des Kantons Schaffhausen ist berechtigt, den Ge- suchsteller bei interkantonalen Gerichtsstandskonflikten vor der Beschwer- dekammer zu vertreten (Art. 21 Abs. 1 lit. f des Justizgesetzes des Kantons Schaffhausen vom 9. November 2009 [JG/SH, SHR 173.200]). Bezüglich des Gesuchsgegners steht diese Befugnis der Oberstaatsanwaltschaft des Kantons Zürich zu (§ 107 Abs. 1 lit. b des Gesetzes über die Gerichts- und Behördenorganisation im Zivil- und Strafprozess des Kantons Zürich vom 10. Mai 2010 [GOG/ZH, LS 211.1]). Die übrigen Eintretensvoraussetzun- gen geben vorliegend zu keinen weiteren Bemerkungen Anlass, weshalb auf das Gesuch einzutreten ist.</w:t>
      </w:r>
    </w:p>
    <w:p>
      <w:r>
        <w:t>- 4 -</w:t>
      </w:r>
    </w:p>
    <w:p>
      <w:r>
        <w:rPr>
          <w:b/>
        </w:rPr>
        <w:t>E. 2.1</w:t>
      </w:r>
    </w:p>
    <w:p>
      <w:r>
        <w:t>Ist eine Straftat von mehreren Mittäterinnen oder Mittätern verübt worden, so sind die Behörden des Ortes zuständig, an dem zuerst Verfolgungs- handlungen vorgenommen worden sind (Art. 33 Abs. 2 StPO). Hat eine be- schuldigte Person mehrere Straftaten an verschiedenen Orten verübt, so sind für die Verfolgung und Beurteilung sämtlicher Taten die Behörden des Ortes zuständig, an dem die mit der schwersten Strafe bedrohte Tat be- gangen worden ist. Bei gleicher Strafdrohung sind die Behörden des Ortes zuständig, an dem zuerst Verfolgungshandlungen vorgenommen worden sind (Art. 34 Abs. 1 StPO). Begehen mehrere Beschuldigte zusammen in verschiedenen Kantonen mehrere Delikte, so sind Art. 33 Abs. 2 und Art. 34 Abs. 1 StPO so miteinander zu kombinieren, dass in der Regel alle Mitwirkenden an dem Orte verfolgt werden, wo von einem Mittäter die mit der schwersten Strafe bedrohte Tat verübt worden ist. Bei gleich schweren Strafdrohungen bestimmt sich der Gerichtsstand für alle Beteiligten nach dem Ort, wo zuerst Verfolgungshandlungen vorgenommen worden sind (vgl. hierzu zuletzt die Beschlüsse des Bundesstrafgerichts BG.2011.49 vom 19. Januar 2012, E. 2.1; BG.2011.33 vom 28. September 2011, E. 2.2.1; BG.2011.4 vom 10. August 2011, E. 2.2.2). Hat ein Mittäter ausser den in Mittäterschaft verübten Verfehlungen an anderen Orten noch weitere Delikte verübt, die mit gleicher Strafe bedroht sind wie die in Mittäterschaft verübten, so bestimmt sich der Gerichtsstand für alle Beteiligten nach dem Ort, wo die Untersuchung zuerst angehoben wurde, und dies selbst dann, wenn nur die allein verübten Taten Gegenstand der ersten Untersuchungs- handlungen bildeten (vgl. hierzu zuletzt den Beschluss des Bundesstrafge- richts BG.2011.49 vom 19. Januar 2012, E. 2.1; siehe auch MOSER, Basler Kommentar, Basel 2011, Art. 33 StPO N. 13).</w:t>
      </w:r>
    </w:p>
    <w:p>
      <w:r>
        <w:rPr>
          <w:b/>
        </w:rPr>
        <w:t>E. 2.2</w:t>
      </w:r>
    </w:p>
    <w:p>
      <w:r>
        <w:t>Nach bundesgerichtlicher Rechtsprechung ist Mittäter, wer bei der Ent- schliessung, Planung oder Ausführung eines Deliktes vorsätzlich und in massgebender Weise mit anderen Tätern zusammenwirkt, so dass er als Hauptbeteiligter dasteht (BGE 118 IV 227 E. 5d/aa S. 230; 108 IV 88 E. I.2a S. 92), und der ausserdem über die tatsächliche Begehung der Tat nicht allein zu bestimmen hat, sondern dies zusammen mit anderen tut. Mittäterschaft setzt somit eine (Mit-) Tatherrschaft voraus (vgl. BGE 111 IV 51 E. 1b S. 53). Mittatherrschaft ist dabei jede arbeitsteilige, für den Erfolg wesentliche Mitwirkung im Ausführungsstadium (BGE 120 IV 17 E. 2d S. 23; 118 IV 397 E. 2b S. 400). Ein Gehilfe leistet zu einem Verbrechen oder Vergehen vorsätzlich Hilfe, wobei im Unterschied zu Täter und Mittä- ter der Gehilfe keine Herrschaft über den Tatablauf besitzt. Sein Beitrag besteht in der blossen Förderung der Tat anderer. Der Gehilfe fördert eine</w:t>
      </w:r>
    </w:p>
    <w:p>
      <w:r>
        <w:t>- 5 -</w:t>
      </w:r>
    </w:p>
    <w:p>
      <w:r>
        <w:t>Tat, wenn er sie durch einen untergeordneten Tatbeitrag unterstützt bzw. wenn er die Ausführung der Haupttat durch irgendwelche Vorkehren oder durch psychische Hilfe erleichtert. Die Erfolgschance der Haupttat muss sich durch die Hilfeleistung nachweisbar erhöhen. Nicht erforderlich ist, dass es ohne die Beihilfe nicht zur Tat gekommen wäre (BGE 129 IV 124 E. 3.2; 121 IV 109 E. 3a S. 119).</w:t>
      </w:r>
    </w:p>
    <w:p>
      <w:r>
        <w:t>Bei der Beurteilung der Gerichtsstandsfrage muss von der aktuellen Ver- dachtslage ausgegangen werden. Massgeblich ist nicht, was dem Beschul- digten schlussendlich nachgewiesen werden kann, sondern der Tatbe- stand, der Gegenstand der Untersuchung bildet, es sei denn, dieser erwei- se sich von vornherein als haltlos oder sei sicher ausgeschlossen. Der Ge- richtsstand bestimmt sich also nicht nach dem, was der Täter begangen hat, sondern nach dem, was ihm vorgeworfen wird, das heisst, was auf- grund der Aktenlage überhaupt in Frage kommt. Dabei stützt sich die Be- schwerdekammer auf Fakten, nicht auf Hypothesen (MOSER, a.a.O., Art. 34 StPO N. 11; GUIDON/BÄNZIGER, Die aktuelle Rechtsprechung des Bundes- strafgerichts zum interkantonalen Gerichtsstand in Strafsachen, Jusletter 21. Mai 2007, [Rz 25] m.w.H.; vgl. nebst anderen den Entscheid des Bun- desstrafgerichts BG.2010.12 vom 8. September 2010, E. 2.2 m.w.H.). Es gilt der Grundsatz „in dubio pro duriore“, wonach im Zweifelsfall auf den für den Beschuldigten ungünstigeren Sachverhalt abzustellen bzw. das schwe- rere Delikt anzunehmen ist (GUIDON/BÄNZIGER, a.a.O., [Rz 42] m.w.H.).</w:t>
      </w:r>
    </w:p>
    <w:p>
      <w:r>
        <w:rPr>
          <w:b/>
        </w:rPr>
        <w:t>E. 2.3</w:t>
      </w:r>
    </w:p>
    <w:p>
      <w:r>
        <w:t>Von beiden Parteien vorliegend anerkannt ist der gesetzliche Gerichtsstand im Kanton Zürich bezüglich der B. vorgeworfenen Straftatbestände. Um- stritten ist demgegenüber die Frage, ob es sich beim Zusammenwirken von A. und B. im Zusammenhang mit der Indoor-Hanfanlage in Z. um eine mit- täterschaftliche Tatbegehung oder ob es sich bei der Beteiligung von B. le- diglich um Gehilfenschaft handelt. Im ersten Fall läge der Gerichtsstand bezüglich der A. gemachten Vorwürfe aufgrund von Art. 33 Abs. 2 StPO ebenfalls im Kanton Zürich, andernfalls bliebe es bei der bisherigen Zu- ständigkeit der Strafverfolgungsbehörden des Kantons Schaffhausen. Bei- de Parteien begründen ihre Vorbringen mit einer Reihe von selektiv aus- gewählten Hinweisen auf Aktenstellen, welche (teilweise vermeintliche) In- dizien für ihren jeweiligen Standpunkt liefern.</w:t>
      </w:r>
    </w:p>
    <w:p>
      <w:r>
        <w:t>Eine Durchsicht der Akten ergibt u.a. folgende Anhaltspunkte: A. sagte aus, B. habe bezüglich der Anlage in Z. die ganze elektrische Installation vorge- nommen und sei hierfür (mit einem fünfstelligen Betrag) entschädigt wor- den (Akten SH, pag. 262 und 278). B. selber gestand nach anfänglichem Bestreiten seine diesbezügliche Mithilfe anlässlich der Einvernahme vom</w:t>
      </w:r>
    </w:p>
    <w:p>
      <w:r>
        <w:t>- 6 -</w:t>
      </w:r>
    </w:p>
    <w:p>
      <w:r>
        <w:t>22. März 2012 schliesslich ein, will für seine Arbeiten aber weder Rech- nung gestellt haben noch von A. bezahlt worden sein (Akten ZH, Beilage 4/4, S. 5). A. will schliesslich die zur Ernte der Hanfblüten eingesetzte Schneidemaschine von B. erhalten haben (Akten SH, pag. 271). B. selber räumt diesbezüglich lediglich ein, A. den Kontakt zum Verkäufer der Ma- schine vermittelt zu haben (Akten ZH, Beilage 4/4, S. 6 f.). Beide vernei- nen, dass B. bei der Ernte mitgeholfen habe oder hieran beteiligt worden sei (Akten SH, pag. 263, 274 bzw. Akten ZH, Beilage 4/4, S. 6). Hierzu im Widerspruch befindet sich jedoch der Nachweis einer DNA-Spur von B., die am Mundstück einer Schutzmaske gefunden wurde, die grundsätzlich zum Schneiden der Hanfblüten eingesetzt wurde (Akten SH, pag. 383 und die diesbezüglichen Aussagen von A. auf pag. 271). Auffallend ist, dass weder das Aussageverhalten von B. noch dasjenige von A. auf deren vollständige Kooperation hindeuten, besonders die auf taktisches – eine Mittäterschaft zu verschleiern versuchendes – Verhalten schliessen lassende Aussage von A.: „Ähm, B. und ich wissen, man macht so ein Projekt alleine, denn sonst ist Bandenmässigkeit gegeben. Das weiss ich von Luzern her.“ (Ak- ten SH, pag. 285). Bei der diesbezüglichen, abschwächenden Interpretati- on des Gesuchsgegners anhand des Gesamtkontextes handelt es sich demgegenüber lediglich um eine andere Würdigung dieser Aussage (act. 3, S. 3). Zwar kann diese Aussage auch anders als eine „offensichtliche“ Be- mühung, die Rolle von B. aus taktischen Gründen herunter zu spielen, ver- standen werden kann. Angesichts des für die Beschwerdekammer bei der Bestimmung des Gerichtsstandes massgebenden Grundsatzes „in dubio pro duriore“ ist aber die Annahme einer Mittäterschaft von B. und A. beim Betrieb der Indoor-Hanfanlage in Z. anhand der aktuellen Aktenlage kei- neswegs als haltlos oder als sicher ausgeschlossen zu betrachten.</w:t>
      </w:r>
    </w:p>
    <w:p>
      <w:r>
        <w:t>Dasselbe hat auch bezüglich der Beteiligung von B. an der Indoor- Hanfanlage in Y. zu gelten. B. selber räumt diesbezüglich ein, über zwei an der entsprechenden Alarmanlage angeschlossene Mobiltelefone verfügt zu haben (Akten SH, pag. 32) und auf einen solchen Alarm hin auch den vom angeblich alleinigen Betreiber der Anlage, C., für diesen Fall erteilten In- struktionen tatsächlich Folge geleistet zu haben (Akten SH, pag. 33 f.). Darüber hinaus habe er aber lediglich einmal während einer Ferienabwe- senheit von C. die Pflanzen gewässert (Akten SH, pag. 25 f.). C. seiner- seits bezichtigte zu Beginn des Verfahrens eine von ihm nicht namentlich genannte Person, der Mittäterschaft („Vegas“ bzw. „X“; siehe hierzu Akten ZH, Beilagen 5/1 – 5/5), wobei dieser „Vegas“ bzw. „X“ nebst C. selber bei der Auslösung der Alarmanlage verständigt worden sei (Akten ZH, Beilage 5/3, S. 2). Auf Vorhalt der Ergebnisse der rückwirkenden Randdatenerhe- bung, wonach es sich bei „Vegas“ bzw. „X“ nur um B. handeln könne, ver-</w:t>
      </w:r>
    </w:p>
    <w:p>
      <w:r>
        <w:t>- 7 -</w:t>
      </w:r>
    </w:p>
    <w:p>
      <w:r>
        <w:t>neinte dies C. pauschal (Akten ZH, Beilagen 5/5, S. 12) bzw. lieferte hierfür anlässlich der Konfrontationseinvernahme vom 16. Februar 2012 eine neue, mit seinen früheren Aussagen in Widerspruch stehende und anhand der Akten zumindest zweifelhafte Erklärung (Akten ZH, Beilage 7, S. 16).</w:t>
      </w:r>
    </w:p>
    <w:p>
      <w:r>
        <w:rPr>
          <w:b/>
        </w:rPr>
        <w:t>E. 2.4</w:t>
      </w:r>
    </w:p>
    <w:p>
      <w:r>
        <w:t>Nach dem Gesagten kann – in Anwendung des Grundsatzes „in dubio pro duriore“ – eine mittäterschaftliche Beteiligung von B. aufgrund der Aktenla- ge sowohl an der Indoor-Hanfanlage in Z. als auch an derjenigen in Y. nicht als haltlos oder als sicher ausgeschlossen bezeichnet werden. Das Gesuch erweist sich demnach als begründet und es sind daher auf Grund von Art. 33 Abs. 2 StPO die Strafverfolgungsbehörden des Gesuchsgegners für berechtigt und verpflichtet zu erklären, die A. zur Last gelegten Delikte zu verfolgen und zu beurteilen.</w:t>
      </w:r>
    </w:p>
    <w:p>
      <w:r>
        <w:rPr>
          <w:b/>
        </w:rPr>
        <w:t>E. 3</w:t>
      </w:r>
    </w:p>
    <w:p>
      <w:r>
        <w:t>Es werden keine Gerichtskosten erhoben (Art. 423 Abs. 1 StPO).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