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BG.2011.7 vom 17. Juni 2011</w:t>
      </w:r>
    </w:p>
    <w:p>
      <w:r>
        <w:t>Bundesstrafgericht, 2011-06-17, DE</w:t>
      </w:r>
    </w:p>
    <w:p>
      <w:r>
        <w:rPr>
          <w:b/>
        </w:rPr>
        <w:t xml:space="preserve">Quelle: </w:t>
      </w:r>
      <w:r>
        <w:t>https://mcp.opencaselaw.ch/entscheid/bstger_BG.2011.7</w:t>
      </w:r>
    </w:p>
    <w:p>
      <w:r>
        <w:t>FR: TPF BG.2011.7 du 17 juin 2011</w:t>
      </w:r>
    </w:p>
    <w:p>
      <w:r>
        <w:t>IT: TPF BG.2011.7 del 17 giugno 2011</w:t>
      </w:r>
    </w:p>
    <w:p>
      <w:pPr>
        <w:pStyle w:val="Heading2"/>
      </w:pPr>
      <w:r>
        <w:t>Regeste</w:t>
      </w:r>
    </w:p>
    <w:p>
      <w:r>
        <w:t>Sachliche Zuständigkeit (Art. 28 StPO).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März 2011 hielt die BA an der Ablehnung der Zuständigkeit fest (vgl. act. 1.9).</w:t>
      </w:r>
    </w:p>
    <w:p>
      <w:r>
        <w:t>C. Mit Gesuch vom 14. April 2011 gelangte die Oberstaatsanwaltschaft ZH an die I. Beschwerdekammer des Bundesstrafgerichts und beantragt, es seien die Strafbehörden der Schweizerischen Eidgenossenschaft für berechtigt</w:t>
      </w:r>
    </w:p>
    <w:p>
      <w:r>
        <w:t>- 3 -</w:t>
      </w:r>
    </w:p>
    <w:p>
      <w:r>
        <w:t>und verpflichtet zu erklären, die den beschuldigten Personen zur Last ge- legten Straftaten zu verfolgen und zu beurteilen (act. 1).</w:t>
      </w:r>
    </w:p>
    <w:p>
      <w:r>
        <w:t>Die BA schliesst in ihrer Gesuchsantwort vom 9. Mai 2011 auf Abweisung des Gesuchs (act. 5).</w:t>
      </w:r>
    </w:p>
    <w:p>
      <w:r>
        <w:t>Die Gesuchsantwort wurde der Oberstaatsanwaltschaft ZH am</w:t>
      </w:r>
    </w:p>
    <w:p>
      <w:r>
        <w:rPr>
          <w:b/>
        </w:rPr>
        <w:t>E. 12</w:t>
      </w:r>
    </w:p>
    <w:p>
      <w:r>
        <w:t>Mai 2011 zur Kenntnis gebracht (act. 6).</w:t>
      </w:r>
    </w:p>
    <w:p>
      <w:r>
        <w:t>Auf die Ausführungen der Parteien und die eingereichten Akten wird, so- weit erforderlich, in den folgenden rechtlichen Erwägungen Bezug genom- men.</w:t>
      </w:r>
    </w:p>
    <w:p>
      <w:r>
        <w:t>Die I. Beschwerdekammer zieht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