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BG.2011.45 vom 24. November 2011</w:t>
      </w:r>
    </w:p>
    <w:p>
      <w:r>
        <w:t>Bundesstrafgericht, 2011-11-24, DE</w:t>
      </w:r>
    </w:p>
    <w:p>
      <w:r>
        <w:rPr>
          <w:b/>
        </w:rPr>
        <w:t xml:space="preserve">Quelle: </w:t>
      </w:r>
      <w:r>
        <w:t>https://mcp.opencaselaw.ch/entscheid/bstger_BG.2011.45</w:t>
      </w:r>
    </w:p>
    <w:p>
      <w:r>
        <w:t>FR: TPF BG.2011.45 du 24 novembre 2011</w:t>
      </w:r>
    </w:p>
    <w:p>
      <w:r>
        <w:t>IT: TPF BG.2011.45 del 24 novembre 2011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die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w:t>
      </w:r>
    </w:p>
    <w:p>
      <w:r>
        <w:rPr>
          <w:b/>
        </w:rPr>
        <w:t>E. 1.2</w:t>
      </w:r>
    </w:p>
    <w:p>
      <w:r>
        <w:t>Die Behörden, welche berechtigt sind, ihren Kanton im Meinungsaustausch und im Verfahren vor der I. Beschwerdekammer zu vertreten, bestimmen sich nach dem jeweiligen kantonalen Recht (Art. 14 Abs. 4 StPO; vgl. hier- zu KUHN, Basler Kommentar, Basel 2011, Art. 39 StPO N. 9 sowie Art. 40 StPO N. 10; SCHMID, Handbuch des schweizerischen Strafprozessrechts, Zürich/St. Gallen 2009, N. 488; GALLIANI/MARCELLINI, Codice svizzero di procedura penale [CPP] – Commentario, Zurigo/San Gallo 2010, n. 5 ad art. 40 CPP). Die Oberstaatsanwaltschaft des Kantons Zürich ist berechtigt, den Gesuchsteller in interkantonalen Gerichtsstandkonflikten vor der I. Be- schwerdekammer des Bundesstrafgerichts zu vertreten (Art. 107 Abs. 1 lit. b des Gesetzes über die Gerichts- und Behördenorganisation im Zivil- und Strafprozess vom 10. Mai 2010 [GOG/ZH; LS 211.1]). Bezüglich des Gesuchsgegners gilt das Gleiche für das Ministero Pubblico (Art. 67 cpv.1 della Legge sull’organizzazione giudiziaria del cantone di Ticino del 10 maggio 2006 (RL 3.1.1.1) i.V.m. Art. 40 Abs. 2 StPO.</w:t>
      </w:r>
    </w:p>
    <w:p>
      <w:r>
        <w:t>- 4 -</w:t>
      </w:r>
    </w:p>
    <w:p>
      <w:r>
        <w:rPr>
          <w:b/>
        </w:rPr>
        <w:t>E. 1.3</w:t>
      </w:r>
    </w:p>
    <w:p>
      <w:r>
        <w:t>Hinsichtlich der Frist, innerhalb welcher die ersuchende Behörde ihr Ge- such einzureichen hat, hielt die I. Beschwerdekammer fest, dass im Nor- malfall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Vorliegend hat die Oberstaatsan- waltschaft des Kantons Zürich (die kantonal dafür zuständige Behörde) ihr Gerichtsstandsgesuch innert 10 Tagen seit der Ablehnung der Verfahrens- übernahme durch den Generalprokurator des Kantons Tessin gestellt (Ak- ten Oberstaatsanwaltschaft des Kantons Zürich No. GS/2011/978, act. 5 und 6), weshalb dieses als fristgemäss zu betrachten ist. Dies entgegen der Vorbringen des Gesuchsgegners, der sich auf den Standpunkt stellt, das Gesuch sei verspätet, weil das Ministero Pubblico des Kantons Tessin die Übernahme bereits mit Schreiben vom 26. Juli 2011 an die Staatsan- waltschaft Zürich-Sihl (die kantonal für Gerichtsstandsstreitigkeiten nicht zuständige Behörde) ein erstes Mal abgelehnt habe. Dazu ist zu sagen, dass es wohl sinnvoll ist, wenn kantonal eine (spezialisierte) Behörde für die Behandlung von Gerichtsstandsstreitigkeiten zuständig ist, resultiert doch daraus eine Bündelung des entsprechenden Know-How und eine ein- heitliche Praxis. Allerdings ist darauf zu achten, dass die zentrale Zustän- digkeit nicht ihrerseits zu Verzögerungen und Ineffizienzen führt, welche der guten Absicht diametral entgegenlaufen (siehe auch unter Ziff. 2.1 nachfolgend).</w:t>
      </w:r>
    </w:p>
    <w:p>
      <w:r>
        <w:rPr>
          <w:b/>
        </w:rPr>
        <w:t>E. 1.4</w:t>
      </w:r>
    </w:p>
    <w:p>
      <w:r>
        <w:t>Die übrigen Eintretensvoraussetzungen geben vorliegend zu keinen weite- ren Bemerkungen Anlass, weshalb auf das Gesuch einzutreten ist.</w:t>
      </w:r>
    </w:p>
    <w:p>
      <w:r>
        <w:rPr>
          <w:b/>
        </w:rPr>
        <w:t>E. 2.1</w:t>
      </w:r>
    </w:p>
    <w:p>
      <w:r>
        <w:t>Vorweg sei erwähnt, dass dem Beschleunigungsgebot im Strafverfahren eine grosse Bedeutung zukommt, und dessen Verletzung je nach Ausmass einschneidende Folgen auch materiellrechtlicher Art, von der Reduktion des Strafmasses über das Absehen von Strafe bis hin zur Einstellung des Verfahrens, nach sich ziehen kann (WOHLERS, Kommentar zur Schweizeri- schen Strafprozessordnung [StPO], Zürich 2010, Art. 5 StPO N 12). Vorlie- gend ergeben sich aus den Akten einige Anhaltspunkte dafür, dass das bzw. die Verfahren nicht immer mit der notwendigen Effizienz vorangetrie- ben wurden. So liegt zwischen einer Telefonnotiz des verfahrensführenden</w:t>
      </w:r>
    </w:p>
    <w:p>
      <w:r>
        <w:t>- 5 -</w:t>
      </w:r>
    </w:p>
    <w:p>
      <w:r>
        <w:t>Staatsanwalts vom 2. Dezember 2009 und dem daran anschliessenden Schreiben vom 8. November 2010 ein Zeitraum von über 11 Monaten, in welchem sich aus den Akten keine materiellen Aktivitäten ergeben. Einem E-mail-Schreiben der Kantonspolizei vom 14. Oktober 2010 an den verfah- rensführenden Staatsanwalt lässt sich lediglich entnehmen, dass aufgrund starker Auslastung noch kein Sachbearbeiter für das Verfahren zugeteilt werden konnte. Eine nächste Verzögerung ergab sich dadurch, dass das Ministero Pubblico mit seiner Antwort auf die erste Gerichtsstandsanfrage der Staatsanwaltschaft Zürich-Sihl 6 Wochen zuwartete, und dazu noch einmal aufgefordert werden musste. Anschliessend dauerte es weitere fast</w:t>
      </w:r>
    </w:p>
    <w:p>
      <w:r>
        <w:rPr>
          <w:b/>
        </w:rPr>
        <w:t>E. 2.2</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Ein Verdächtigter ist verfolgt, wenn eine Straf-, Untersuchungs- oder auch eine Polizeibehörde durch die Einleitung von Massnahmen zu erkennen gegeben hat, dass sie jemanden einer strafbaren Handlung verdächtigt, oder wenn eine verdächtige Handlung angezeigt oder diesbezüglich ein Strafantrag gestellt wurde. Massnahmen gegen eine unbekannte Täterschaft genügen (vgl. hierzu MOSER, Basler Kommentar, Basel 2011, Art. 34 StPO N. 6 m.w.H.; FINGERHUTH/LIEBER, Kommentar zur Schweizerischen Strafprozessordnung [StPO], Zü- rich/Basel/Genf 2010, Art. 31 StPO N. 28; SCHMID, a.a.O., N. 450).</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w:t>
      </w:r>
    </w:p>
    <w:p>
      <w:r>
        <w:t>- 6 -</w:t>
      </w:r>
    </w:p>
    <w:p>
      <w:r>
        <w:t>richtsstand bestimmt sich also nicht nach dem, was der Täter begangen hat, sondern nach dem, was ihm vorgeworfen wird, das heisst, was auf- grund der Aktenlage überhaupt in Frage kommt. Dabei stützt sich die I. Be- schwerdekammer auf Fakten, nicht auf Hypothesen (MOSER, a.a.O., Art. 34 StPO N. 11; GUIDON/BÄNZIGER, Die aktuelle Rechtsprechung des Bundes- strafgerichts zum interkantonalen Gerichtsstand in Strafsachen, Jusletter 21. Mai 2007, [Rz 25] m.w.H.; vgl. nebst anderen den Entscheid des Bun- desstrafgerichts BG.2010.12 vom 8. September 2010, E. 2.2 m.w.H.). Es gilt der Grundsatz „in dubio pro duriore“, wonach im Zweifelsfall auf den für den Beschuldigten ungünstigeren Sachverhalt abzustellen bzw. das schwe- rere Delikt anzunehmen ist (GUIDON/BÄNZIGER, a.a.O., [Rz 42] m.w.H.). Gemäss Art. 33 Abs. 1 StPO werden die Teilnehmer einer Straftat von den gleichen Behörden verfolgt wie der Täter. Wurde eine Straftat von mehre- ren Mittätern verübt, so sind die Behörden des Ortes zuständig, an dem zuerst Verfolgungshandlungen vorgenommen worden sind (Art. 33 Abs. 2 StPO). Begehen mehrere Beschuldigte zusammen in verschiedenen Kantonen mehrere Delikte, so sind Art. 33 und Art. 34 Abs. 1 StPO so mit- einander zu kombinieren, dass in der Regel alle Mitwirkenden an dem Orte verfolgt werden, wo von einem Mittäter die mit der schwersten Strafe be- drohte Tat verübt worden ist.</w:t>
      </w:r>
    </w:p>
    <w:p>
      <w:r>
        <w:t>Vorliegend bildet der Vorwurf des falschen Zeugnisses gemäss Art. 307 StGB durch Falschaussagen im Zivilverfahren vor der Pretura di Lugano das im Sinne von Art. 34 Abs. 1 StPO schwerste Delikt, weshalb der Ge- suchsgegner zur Verfolgung der vorliegend zur Diskussion stehenden Straftaten zuständig ist. Nach den erwähnten Regeln über die gemeinsame Verfolgung der Mitwirkenden gilt dies für sämtliche Teilnehmer an den ge- nannten Straftaten.</w:t>
      </w:r>
    </w:p>
    <w:p>
      <w:r>
        <w:rPr>
          <w:b/>
        </w:rPr>
        <w:t>E. 2.3</w:t>
      </w:r>
    </w:p>
    <w:p>
      <w:r>
        <w:t>Das Gesuch ist aus diesen Gründen gutzuheissen und der Gesuchsgegner ist zu verpflichten, die den Beschuldigten vorgeworfenen Delikte zu verfol- gen und zu beurteilen.</w:t>
      </w:r>
    </w:p>
    <w:p>
      <w:r>
        <w:rPr>
          <w:b/>
        </w:rPr>
        <w:t>E. 3</w:t>
      </w:r>
    </w:p>
    <w:p>
      <w:r>
        <w:t>Es werden keine Gerichtskosten erhoben (Art. 423 Abs. 1 StPO).</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