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BG.2011.41 vom 23. Dezember 2011</w:t>
      </w:r>
    </w:p>
    <w:p>
      <w:r>
        <w:t>Bundesstrafgericht, 2011-12-23, DE</w:t>
      </w:r>
    </w:p>
    <w:p>
      <w:r>
        <w:rPr>
          <w:b/>
        </w:rPr>
        <w:t xml:space="preserve">Quelle: </w:t>
      </w:r>
      <w:r>
        <w:t>https://mcp.opencaselaw.ch/entscheid/bstger_BG.2011.41</w:t>
      </w:r>
    </w:p>
    <w:p>
      <w:r>
        <w:t>FR: TPF BG.2011.41 du 23 décembre 2011</w:t>
      </w:r>
    </w:p>
    <w:p>
      <w:r>
        <w:t>IT: TPF BG.2011.41 del 23 dicembre 2011</w:t>
      </w:r>
    </w:p>
    <w:p>
      <w:pPr>
        <w:pStyle w:val="Heading2"/>
      </w:pPr>
      <w:r>
        <w:t>Regeste</w:t>
      </w:r>
    </w:p>
    <w:p>
      <w:r>
        <w:t>Gerichtsstandskonflikt (Art. 40 Abs. 2 StPO).</w:t>
      </w:r>
    </w:p>
    <w:p>
      <w:pPr>
        <w:pStyle w:val="Heading2"/>
      </w:pPr>
      <w:r>
        <w:t>Erwägungen</w:t>
      </w:r>
    </w:p>
    <w:p>
      <w:r>
        <w:rPr>
          <w:b/>
        </w:rPr>
        <w:t>E. 3</w:t>
      </w:r>
    </w:p>
    <w:p>
      <w:r>
        <w:t>August 2010 [EG StPO/SG; sGS 962.1]). Die übrigen Eintretensvoraus- setzungen geben vorliegend zu keinen weiteren Bemerkungen Anlass, weshalb auf das Gesuch einzutreten ist.</w:t>
      </w:r>
    </w:p>
    <w:p>
      <w:r>
        <w:t>2.</w:t>
      </w:r>
    </w:p>
    <w:p>
      <w:r>
        <w:t>2.1 Hat eine beschuldigte Person mehrere Straftaten an verschiedenen Orten verübt, so sind für die Verfolgung und Beurteilung sämtlicher Taten die Be- hörden des Ortes zuständig, an dem die mit der schwersten Strafe bedroh- te Tat begangen worden ist. Bei gleicher Strafdrohung sind die Behörden des Ortes zuständig, an dem zuerst Verfolgungshandlungen vorgenommen worden sind (Art. 34 Abs. 1 StPO). Ein Verdächtigter ist verfolgt, wenn eine Straf-, Untersuchungs- oder auch eine Polizeibehörde durch die Einleitung von Massnahmen zu erkennen gegeben hat, dass sie jemanden einer strafbaren Handlung verdächtigt, oder wenn eine verdächtige Handlung angezeigt oder diesbezüglich ein Strafantrag gestellt wurde. Massnahmen gegen eine unbekannte Täterschaft genügen (vgl. hierzu MOSER, Basler Kommentar, Basel 2011, Art. 34 StPO N. 6 m.w.H.; FINGERHUTH/LIEBER, Kommentar zur Schweizerischen Strafprozessordnung [StPO], Zü- rich/Basel/Genf 2010, Art. 31 StPO N. 28; SCHMID, a.a.O., N. 450).</w:t>
      </w:r>
    </w:p>
    <w:p>
      <w:r>
        <w:t>Bei der Beurteilung der Gerichtsstandsfrage muss von der aktuellen Ver- dachtslage ausgegangen werden. Massgeblich ist nicht, was dem Beschul- digten schlussendlich nachgewiesen werden kann, sondern der Tatbe- stand, der Gegenstand der Untersuchung bildet, es sei denn, dieser erwei- se sich von vornherein als haltlos oder sei sicher ausgeschlossen. Der Ge- richtsstand bestimmt sich also nicht nach dem, was der Täter begangen hat, sondern nach dem, was ihm vorgeworfen wird, das heisst, was auf- grund der Aktenlage überhaupt in Frage kommt. Dabei stützt sich die I. Be- schwerdekammer auf Fakten, nicht auf Hypothesen (MOSER, a.a.O., Art. 34 StPO N. 11; GUIDON/BÄNZIGER, Die aktuelle Rechtsprechung des Bundes- strafgerichts zum interkantonalen Gerichtsstand in Strafsachen, Jusletter 21. Mai 2007, [Rz 25] m.w.H.; vgl. nebst anderen den Entscheid des Bun- desstrafgerichts BG.2010.12 vom 8. September 2010, E. 2.2 m.w.H.). Es</w:t>
      </w:r>
    </w:p>
    <w:p>
      <w:r>
        <w:t>- 5 -</w:t>
      </w:r>
    </w:p>
    <w:p>
      <w:r>
        <w:t>gilt der Grundsatz „in dubio pro duriore“, wonach im Zweifelsfall auf den für den Beschuldigten ungünstigeren Sachverhalt abzustellen bzw. das schwe- rere Delikt anzunehmen ist (GUIDON/BÄNZIGER, a.a.O., [Rz 42] m.w.H.).</w:t>
      </w:r>
    </w:p>
    <w:p>
      <w:r>
        <w:t>2.2 Die Tatbestände des gewerbsmässigen Missbrauchs einer Datenverarbei- tungsanlage und des gewerbsmässigen Betrugs haben die gleiche Straf- androhung: Freiheitsentzug bis zu zehn Jahren oder Geldstrafe nicht unter 90 Tagessätzen (Art. 146 Abs. 2 und Art. 147 Abs. 2 StGB). Der Ge- suchsteller bringt vor, gewerbsmässiges Handeln sei erst für die Delikte, welche sich in Gossau in der Zeit von Ende März 2010 bis Ende Okto- ber 2010 abgespielt hätten, anzunehmen (act. 1, S. 8). Der Gesuchsgegner vertritt hingegen die Ansicht, Gewerbsmässigkeit können auch für die frü- heren Delikte nicht ausgeschlossen werden (act. 3, S. 3).</w:t>
      </w:r>
    </w:p>
    <w:p>
      <w:r>
        <w:t>Beim Kollektivdelikt fallen vielfach gewerbsmässige und einzelne nicht ge- werbsmässige Handlungen zusammen. Diese Einheit wirkt sich auch bei der Gerichtsstandsbestimmung in dem Sinne aus, dass alle dem Täter un- ter dem Titel des gewerbsmässigen Delikts zur Last gelegten Verfehlungen gleich zu behandeln sind und als mit der gleichen Strafe bedroht zu gelten haben. Gemäss Art. 31 Abs. 2 und Art. 34 Abs. 1 Satz 2 StPO sind in ei- nem solchen Fall die Behörden jenes Ortes zur Verfolgung zuständig, wo die Untersuchung zuerst angehoben wurde (vgl. BGE 112 IV 61 E. 1 S. 63). Dies bedeutet nun aber nicht, dass in jedem Verfahren, in welchem ein einfacher Diebstahl mit gewerbsmässigen Diebstahldelikten zusam- mentrifft, Ersterer immer ohne weiteres auch Teil des Kollektivdelikts bildet. Vom Kollektivdelikt werden die nicht gewerbsmässigen Handlungen nur er- fasst, wenn sie mit den gewerbsmässigen eine Einheit bilden, d. h. wenn sie als Teilhandlungen eines Gewerbes erscheinen. Das setzt zumindest einen äusseren Zusammenhang der gewerbsmässigen und nicht ge- werbsmässigen Handlungen voraus (vgl. Entscheid des Bundesstrafge- richts BB.2010.6 vom 6. Juli 2010, E. 3.2 und BGE 118 IV 91 E. 4 S. 92 ff.; 108 IV 142 E. 2 S. 144).</w:t>
      </w:r>
    </w:p>
    <w:p>
      <w:r>
        <w:t>Vorliegend ist zu prüfen, ob für die A. zur Last gelegten Straftaten Ge- werbsmässigkeit in Frage kommt, wobei formell bis anhin kein beteiligter Kanton das Verfahren wegen gewerbsmässiger Deliktsbegehung führt. Die bundesgerichtliche Rechtsprechung geht für die Umschreibung der Ge- werbsmässigkeit vom Begriff des berufsmässigen Handelns aus. Der Täter handelt berufsmässig, wenn sich aus der Zeit und den Mitteln, die er für die deliktische Tätigkeit aufwendet, aus der Häufigkeit der Einzelakte innerhalb eines bestimmten Zeitraumes sowie aus den angestrebten und erzielten Einkünften ergibt, dass er die deliktische Tätigkeit nach der Art eines Be-</w:t>
      </w:r>
    </w:p>
    <w:p>
      <w:r>
        <w:t>- 6 -</w:t>
      </w:r>
    </w:p>
    <w:p>
      <w:r>
        <w:t>rufs ausübt (BGE 119 IV 129 E. 3a; NIGGLI/RIEDO, Basler Kommentar, 2. Aufl., Basel 2007, Art. 139 StGB N. 83, mit weiteren Hinweisen). Ge- werbsmässigkeit setzt laut Bundesgericht ein Dreifaches voraus: Sie kann zunächst nur dann angenommen werden, wenn der Täter bereits mehrfach delinquiert hat (NIGGLI/RIEDO, a.a.O., Art. 139 StGB N. 89). Wie viele Straf- taten vorausgesetzt sind, lässt sich nicht genau beziffern. Man wird viel- mehr berücksichtigen müssen, in welchem Zeitraum und mit welchem De- liktsbetrag diese verübt wurden (NIGGLI/RIEDO, a.a.O., Art. 139 StGB N. 91). Ferner muss der Täter in der Absicht handeln, ein Erwerbseinkom- men zu erzielen (NIGGLI/RIEDO, a.a.O., Art. 139 StGB N. 92), und er muss zur Verübung einer Vielzahl von Delikten der fraglichen Art bereit sein (NIGGLI/RIEDO, a.a.O., Art. 139 StGB N. 101).</w:t>
      </w:r>
    </w:p>
    <w:p>
      <w:r>
        <w:t>Die I. Beschwerdekammer des Bundesstrafgerichts greift bei der Beurtei- lung der Rechtslage dem Sachrichter nicht vor. Dies hat zur Folge, dass unter Anwendung des Grundsatzes „in dubio pro duriore“ auf die für den Beschuldigten ungünstigere Rechtslage zu schliessen ist. Dem Beschuldig- ten wird insbesondere vorgehalten, im Zeitraum vom 20. Juni 2004 bis zum</w:t>
      </w:r>
    </w:p>
    <w:p>
      <w:r>
        <w:rPr>
          <w:b/>
        </w:rPr>
        <w:t>E. 4</w:t>
      </w:r>
    </w:p>
    <w:p>
      <w:r>
        <w:t>November 2008, welche von C. und D. wegen Betrugs und Diebstahls erstattet wurde, auf Delikte bezieht, welche dem gewerbsmässigen Tat- komplex zuzurechnen sind, kann an dieser Stelle offen bleiben, da auch diese Strafanzeige im Kanton Zürich einging (Akten Staatsanwaltschaft See/Oberland, C-4/2009/708, HD 1, S. 3).</w:t>
      </w:r>
    </w:p>
    <w:p>
      <w:r>
        <w:t>2.3 Zusammenfassend ergibt sich aus obigen Erwägungen die Zuständigkeit der Strafbehörden des Kantons Zürich für die Verfolgung und Beurteilung der dem Beschuldigten zur Last gelegten Delikte.</w:t>
      </w:r>
    </w:p>
    <w:p>
      <w:r>
        <w:t>3. Es werden keine Gerichtskosten erhoben (Art. 423 Abs. 1 StPO).</w:t>
      </w:r>
    </w:p>
    <w:p>
      <w:r>
        <w:t>- 9 -</w:t>
      </w:r>
    </w:p>
    <w:p>
      <w:r>
        <w:t>Demnach erkennt die 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