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BG.2011.38 vom 26. Oktober 2011</w:t>
      </w:r>
    </w:p>
    <w:p>
      <w:r>
        <w:t>Bundesstrafgericht, 2011-10-26, DE</w:t>
      </w:r>
    </w:p>
    <w:p>
      <w:r>
        <w:rPr>
          <w:b/>
        </w:rPr>
        <w:t xml:space="preserve">Quelle: </w:t>
      </w:r>
      <w:r>
        <w:t>https://mcp.opencaselaw.ch/entscheid/bstger_BG.2011.38</w:t>
      </w:r>
    </w:p>
    <w:p>
      <w:r>
        <w:t>FR: TPF BG.2011.38 du 26 octobre 2011</w:t>
      </w:r>
    </w:p>
    <w:p>
      <w:r>
        <w:t>IT: TPF BG.2011.38 del 26 ottobre 2011</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I. Beschwerdekammer des Bundesstrafgerichts zum Entscheid (Art. 40 Abs. 2 StPO i.V.m. Art. 37 Abs. 1 StBOG und Art. 19 Abs. 1 des Organisa- tionsreglements vom 31. August 2010 für das Bundesstrafgericht [Organi- sationsreglement BStGer, BStGerOR; SR 173.713.161]). Hinsichtlich der Frist, innerhalb welcher die ersuchende Behörde ihr Gesuch einzureichen hat, hielt die I. Beschwerdekammer fest, dass im Normalfall auf die Frist von zehn Tagen gemäss Art. 396 Abs. 1 StPO, welche auch im Beschwer- deverfahren nach den Bestimmungen der Art. 393 ff. StPO Anwendung fin- det, verwiesen werden kann, wobei ein Abweichen von dieser Frist nur un- ter besonderen, vom jeweiligen Gesuchsteller zu spezifizierenden Umstän- den möglich ist (vgl. hierzu u. a. die Beschlüsse des Bundesstrafgerichts BG.2011.17 vom 15. Juli 2011, E. 2.1, und BG.2011.7 vom 17. Juni 2011, E. 2.2). Die Behörden, welche berechtigt sind, ihren Kanton im Meinungs- austausch und im Verfahren vor der I. Beschwerdekammer zu vertreten, bestimmen sich nach dem jeweiligen kantonalen Recht (Art. 14 Abs. 4 StPO; vgl. hierzu KUHN, Basler Kommentar, Basel 2011, Art. 39 StPO N. 9 sowie Art. 40 StPO N. 10; SCHMID, Handbuch des schweizeri- schen Strafprozessrechts, Zürich/St. Gallen 2009, N. 488; GALLIANI/ MARCELLINI, Codice svizzero di procedura penale [CPP] – Commentario, Zurigo/San Gallo 2010, n. 5 ad art. 40 CPP).</w:t>
      </w:r>
    </w:p>
    <w:p>
      <w:r>
        <w:t>- 4 -</w:t>
      </w:r>
    </w:p>
    <w:p>
      <w:r>
        <w:rPr>
          <w:b/>
        </w:rPr>
        <w:t>E. 1.2</w:t>
      </w:r>
    </w:p>
    <w:p>
      <w:r>
        <w:t>Der stellvertretende Erste Staatsanwalt des Kantons St. Gallen ist berech- tigt, den Gesuchsteller in interkantonalen Gerichtsstandkonflikten vor der I. Beschwerdekammer des Bundesstrafgerichts zu vertreten (Art. 10 Abs. 1 lit. f i.V.m. Art. 24 des Einführungsgesetzes zur Schweizerischen Straf- und Jugendstrafprozessordnung des Kantons St. Gallen vom 3. August 2010 [EG StPO/SG; sGS 962.1]). Im Tessin kommt diese Befugnis dem Ministe- ro pubblico (Art. 67 cpv. 1 della Legge sull’organizzazione giudiziaria del cantone Ticino del 10 maggio 2006 [RL 3.1.1.1] i.V.m. Art. 40 Abs. 2 StPO) um im Kanton Schwyz der Oberstaatsanwaltschaft (§ 48 lit. e und lit. f der Justizverordnung des Kantons Schwyz vom 18. November 2009 [SRSZ 231.110]) zu.</w:t>
      </w:r>
    </w:p>
    <w:p>
      <w:r>
        <w:rPr>
          <w:b/>
        </w:rPr>
        <w:t>E. 1.3</w:t>
      </w:r>
    </w:p>
    <w:p>
      <w:r>
        <w:t>Der Gesuchsteller hat mit dem Kanton Tessin vor Einreichung des Ge- suchs einen erfolglosen Meinungsaustausch durchgeführt. Da erst nach Einreichung des Gesuchs durch die Anzeige eines mutmasslich weiteren Opfers auch der Kanton Schwyz als zuständiger Kanton ernsthaft in Frage kommt, rechtfertigte es sich ausnahmsweise den Meinungsaustausch durch die I. Beschwerdekammer des Bundesstrafgerichts auf diesen Kan- ton zu erweitern und zu vervollständigen. In der Folge konnte auch in die- sem Meinungsaustausch keine Einigung erzielt werden.</w:t>
      </w:r>
    </w:p>
    <w:p>
      <w:r>
        <w:rPr>
          <w:b/>
        </w:rPr>
        <w:t>E. 1.4</w:t>
      </w:r>
    </w:p>
    <w:p>
      <w:r>
        <w:t>Die übrigen Eintretensvoraussetzungen geben vorliegend zu keinen weite- ren Bemerkungen Anlass, weshalb auf das Gesuch einzutreten ist.</w:t>
      </w:r>
    </w:p>
    <w:p>
      <w:r>
        <w:rPr>
          <w:b/>
        </w:rPr>
        <w:t>E. 2.1</w:t>
      </w:r>
    </w:p>
    <w:p>
      <w:r>
        <w:t>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 Ein Verdächtigter ist verfolgt, wenn eine Straf-, Untersuchungs- oder auch eine Polizeibehörde durch die Einleitung von Massnahmen zu erkennen gegeben hat, dass sie jemanden einer strafbaren Handlung verdächtigt, oder wenn eine verdächtige Handlung angezeigt oder diesbezüglich ein Strafantrag gestellt wurde. Massnahmen gegen eine unbekannte Täterschaft genügen (vgl. hierzu MOSER, Basler Kommentar, Basel 2011, Art. 34 StPO N. 6 m.w.H.; FINGERHUTH/LIEBER, Kommentar zur Schweizerischen Strafprozessordnung [StPO], Zü- rich/Basel/Genf 2010, Art. 31 StPO N. 28; SCHMID, a.a.O., N. 450).</w:t>
      </w:r>
    </w:p>
    <w:p>
      <w:r>
        <w:t>- 5 -</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I. Be- schwerdekammer auf Fakten, nicht auf Hypothesen (MOSER, a.a.O., Art. 34 StPO N. 11; GUIDON/BÄNZIGER, Die aktuelle Rechtsprechung des Bundes- strafgerichts zum interkantonalen Gerichtsstand in Strafsachen, Jusletter 21. Mai 2007, [Rz 25] m.w.H.; vgl. nebst anderen den Entscheid des Bun- desstrafgerichts BG.2010.12 vom 8. September 2010, E. 2.2 m.w.H.). Es gilt der Grundsatz „in dubio pro duriore“, wonach im Zweifelsfall auf den für den Beschuldigten ungünstigeren Sachverhalt abzustellen bzw. das schwe- rere Delikt anzunehmen ist (GUIDON/BÄNZIGER, a.a.O., [Rz 42] m.w.H.).</w:t>
      </w:r>
    </w:p>
    <w:p>
      <w:r>
        <w:rPr>
          <w:b/>
        </w:rPr>
        <w:t>E. 2.2</w:t>
      </w:r>
    </w:p>
    <w:p>
      <w:r>
        <w:t>Die I. Beschwerdekammer kann (wie die beteiligten Staatsanwaltschaften untereinander auch) einen andern als den in den Art. 31 – 37 StPO vorge- 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Die Überlegungen, welche den gesetzlichen Gerichtsstand als unzweckmässig erscheinen lassen, müssen sich gebieterisch aufdrän- gen. Überdies kann ein Kanton entgegen dem gesetzlichen Gerichtsstand nur für zuständig erklärt werden resp. sich selber für zuständig erklären, wenn dort tatsächlich ein örtlicher Anknüpfungspunkt besteht (vgl. MOSER, a.a.O., Art. 38 StPO N. 2 m.w.H.; siehe auch GOLDSCHMID/MAURER/SOLL- BERGER, Kommentierte Textausgabe zur Schweizerischen Strafprozess- ordnung, Bern 2008, S. 32 f.; GALLIANI/MARCELLINI, op. cit., n. 1 e 2 ad art. 38 CPP).</w:t>
      </w:r>
    </w:p>
    <w:p>
      <w:r>
        <w:rPr>
          <w:b/>
        </w:rPr>
        <w:t>E. 2.3</w:t>
      </w:r>
    </w:p>
    <w:p>
      <w:r>
        <w:t>Vorliegend stehen als schwerste Tatvorwürfe zwei Vergewaltigungen im Raum. Eine Vergewaltigung habe sich am 21. Juni 2011 im Ferienhaus von A. in X. ereignet, die andere im August 2010 während der Bootsfahrt aus- gehend vom Bootshafen in Y., wobei nicht genau feststeht, ob sich das Boot zum Zeitpunkt der Tat auf dem Kantonsgebiet von St. Gallen oder Schwyz befunden hat. Verfolgungshandlungen wurden bisher nur vom Kanton St. Gallen vorgenommen. Gegen die Zuständigkeit des Kantons</w:t>
      </w:r>
    </w:p>
    <w:p>
      <w:r>
        <w:t>- 6 -</w:t>
      </w:r>
    </w:p>
    <w:p>
      <w:r>
        <w:t>Tessin ist einzuwenden, dass sich bis auf eine Vergewaltigung alle Delikte im deutschsprachigen Raum abgespielt haben sollen und weder der Be- schuldigte noch die Opfer die italienische Sprache ausreichend beherr- schen – dies wird zumindest nicht geltend gemacht. Der sprachliche De- liktsschwerpunkt liegt somit eindeutig in der Deutschschweiz (vgl. TPF 2009 189 E. 3.4 S. 191 und TPF 2008 183 E. 3.4 S. 185, je m.w.H.). Über- dies haben alle Tatbeteiligten ihren Wohnsitz in der deutschsprachigen Schweiz, weswegen auch Gründe der Prozessökonomie gegen die Zu- ständigkeit des Kantons Tessin sprechen. Somit ist die Tat von demjenigen Kanton zu verfolgen, in welchem sich die erste mutmassliche Vergewalti- gung im August 2010 zugetragen hat. Da – wie bereits erwähnt – nicht mehr genau bestimmt werden kann, wo sich das Boot zum Tatzeitpunkt be- funden hat, ist vom Anfangs- und Endpunkt – folglich vom Bootshafen in Y. – auszugehen. Damit ist die Zuständigkeit des Kantons Schwyz zur Verfol- gung und Beurteilung der an A. vorgehaltenen Straftaten begründet. Dieses Resultat rechtfertigt sich auch unter Berücksichtigung eines mutmasslichen Vorfalls im Mai 2011, welcher sich ebenfalls in Lachen (SZ) ereignet haben soll und zurzeit als sexuelle Nötigung qualifiziert wird (act. 1, S. 2).</w:t>
      </w:r>
    </w:p>
    <w:p>
      <w:r>
        <w:rPr>
          <w:b/>
        </w:rPr>
        <w:t>E. 3</w:t>
      </w:r>
    </w:p>
    <w:p>
      <w:r>
        <w:t>Es werden keine Gerichtskosten erhoben (Art. 423 Abs. 1 StPO).</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