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BG.2011.31 vom 30. September 2011</w:t>
      </w:r>
    </w:p>
    <w:p>
      <w:r>
        <w:t>Bundesstrafgericht, 2011-09-30, FR</w:t>
      </w:r>
    </w:p>
    <w:p>
      <w:r>
        <w:rPr>
          <w:b/>
        </w:rPr>
        <w:t xml:space="preserve">Quelle: </w:t>
      </w:r>
      <w:r>
        <w:t>https://mcp.opencaselaw.ch/entscheid/bstger_BG.2011.31</w:t>
      </w:r>
    </w:p>
    <w:p>
      <w:r>
        <w:t>FR: TPF BG.2011.31 du 30 septembre 2011</w:t>
      </w:r>
    </w:p>
    <w:p>
      <w:r>
        <w:t>IT: TPF BG.2011.31 del 30 settembre 2011</w:t>
      </w:r>
    </w:p>
    <w:p>
      <w:pPr>
        <w:pStyle w:val="Heading2"/>
      </w:pPr>
      <w:r>
        <w:t>Regeste</w:t>
      </w:r>
    </w:p>
    <w:p>
      <w:r>
        <w:t>Conflit de fors (art. 40 al. 2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présente procédure est rayée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t>Bellinzone, le 30 septembre 2011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Canton de Vaud, Ministère Public Central - Canton de Genève, Ministère public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