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BG.2011.26 vom 26. August 2011</w:t>
      </w:r>
    </w:p>
    <w:p>
      <w:r>
        <w:t>Bundesstrafgericht, 2011-08-26, DE</w:t>
      </w:r>
    </w:p>
    <w:p>
      <w:r>
        <w:rPr>
          <w:b/>
        </w:rPr>
        <w:t xml:space="preserve">Quelle: </w:t>
      </w:r>
      <w:r>
        <w:t>https://mcp.opencaselaw.ch/entscheid/bstger_BG.2011.26</w:t>
      </w:r>
    </w:p>
    <w:p>
      <w:r>
        <w:t>FR: TPF BG.2011.26 du 26 août 2011</w:t>
      </w:r>
    </w:p>
    <w:p>
      <w:r>
        <w:t>IT: TPF BG.2011.26 del 26 agosto 2011</w:t>
      </w:r>
    </w:p>
    <w:p>
      <w:pPr>
        <w:pStyle w:val="Heading2"/>
      </w:pPr>
      <w:r>
        <w:t>Regeste</w:t>
      </w:r>
    </w:p>
    <w:p>
      <w:r>
        <w:t>Gerichtsstandskonflikt (Art. 40 Abs. 2 StPO).</w:t>
      </w:r>
    </w:p>
    <w:p>
      <w:pPr>
        <w:pStyle w:val="Heading2"/>
      </w:pPr>
      <w:r>
        <w:t>Erwägungen</w:t>
      </w:r>
    </w:p>
    <w:p>
      <w:r>
        <w:rPr>
          <w:b/>
        </w:rPr>
        <w:t>E. 1.1</w:t>
      </w:r>
    </w:p>
    <w:p>
      <w:r>
        <w:t>Die Zuständigkeit der I. Beschwerdekammer des Bundesstrafgerichts zum Entscheid über Gerichtsstandsstreitigkeiten ergibt sich aus Art. 40 Abs. 2 sowie Art. 449 Abs. 2 Strafprozessordnung (StPO; SR 312.0), Art. 37 Abs. 1 des Bundesgesetzes vom 19. März 2010 über die Organisation der Strafbehörden des Bundes (Strafbehördenorganisationsgesetz, StBOG; SR 173.71) sowie Art. 19 Abs. 1 des Organisationsreglements für das Bun- desstrafgericht vom 31. August 2010 (Organisationsreglement BStGer, BStGerOR; SR 173.713.161). Voraussetzung für die Anrufung der I. Be- schwerdekammer ist, dass ein Streit über einen interkantonalen Gerichts- stand vorliegt und dass die Kantone über diesen Streit einen Meinungsaus- tausch durchgeführt haben (DONATSCH/HANSJAKOB/LIEBER, a.a.O., Art. 40 StPO N. 9). Dabei unterbreitet die Staatsanwaltschaft desjenigen Kantons, welcher zuerst mit der Sache befasst war, die Frage unverzüglich dem Ge-</w:t>
      </w:r>
    </w:p>
    <w:p>
      <w:r>
        <w:t>- 4 -</w:t>
      </w:r>
    </w:p>
    <w:p>
      <w:r>
        <w:t>richt (Art. 40 Abs. 2 StPO). Nach der Praxis der I. Beschwerdekammer ist das Kriterium der Unverzüglichkeit erfüllt, wenn das Gerichtsstandsgesuch innert 10 Tagen seit dem Abschluss des Meinungsaustausches eingereicht wird und keine zwingenden Gründe für ein Abweichen von der 10-Tagefrist vom Gesuchsteller liquid dargelegt werden (siehe Beschlüsse des Bundes- strafgerichts BG 2011.7 vom 17. Juni 2011, E. 2.2 und BG.2011.17 vom 15. Juli 2011, E. 2.1).</w:t>
      </w:r>
    </w:p>
    <w:p>
      <w:r>
        <w:rPr>
          <w:b/>
        </w:rPr>
        <w:t>E. 1.2</w:t>
      </w:r>
    </w:p>
    <w:p>
      <w:r>
        <w:t>Die Generalstaatsanwaltschaft des Kantons Thurgau ist berechtigt, den Gesuchsteller in interkantonalen Gerichtsstandskonflikten vor der I. Be- schwerdekammer des Bundesstrafgerichts zu vertreten (Art. 31 Abs. 1 Satz 1 des Gesetzes über die Zivil- und Strafrechtspflege [ZSRG/TG; TG Rechtsbuch 312.1]). Bezüglich des Gesuchsgegners gilt das Gleiche für die Generalstaatsanwaltschaft des Kantons Bern (Art. 24 lit. b des Einfüh- rungsgesetzes zur Zivilprozessordnung, zur Strafprozessordnung und zur Jugendstrafprozessordnung des Kantons Bern vom 11. Juni 2009 [EG ZSJ/BE; BSG 271.1]).</w:t>
      </w:r>
    </w:p>
    <w:p>
      <w:r>
        <w:rPr>
          <w:b/>
        </w:rPr>
        <w:t>E. 1.3</w:t>
      </w:r>
    </w:p>
    <w:p>
      <w:r>
        <w:t>Der Gesuchsteller hat mit dem Gesuchsgegner vor Einreichung des Ge- suchs einen Meinungsaustausch mit drei Schriftenwechseln durchgeführt, wobei sich keine Einigung ergab. Der Meinungsaustausch ist deshalb als abgeschlossen zu betrachten.</w:t>
      </w:r>
    </w:p>
    <w:p>
      <w:r>
        <w:rPr>
          <w:b/>
        </w:rPr>
        <w:t>E. 1.4</w:t>
      </w:r>
    </w:p>
    <w:p>
      <w:r>
        <w:t>Mit einer Klarheit sondergleichen ergibt sich aus den Akten, dass von den zwei Verfahrensparteien der Gesuchsgegner als Erster mit der Strafunter- suchung wegen Menschenhandels gegen B., die in der Untersuchung of- fenbar eine der Schlüsselfiguren darstellt, befasst war (vgl. zuvor unter lit. A.). Es wäre deshalb gemäss Art. 40 Abs. 2 StPO Sache des Gesuchs- gegners gewesen, nach dem 3-fachen Schriftenwechsel, der keine Eini- gung ergab, unverzüglich, d.h. gemäss der Gerichtspraxis innert 10 Tagen an die I. Beschwerdekammer zu gelangen. Nachdem der Gesuchsgegner als erstbefasster Kanton dieser Pflicht nicht nachgekommen ist und dieser auch keine zwingenden Gründe für ein Abweichen von der 10-Tagesfrist dargelegt hat, rechtfertigt es sich im vorliegenden Fall ohne Eintreten auf das Gesuch und ohne weitere materielle Prüfung des Gerichtsstandskon- flikts die Zuständigkeit des Gesuchsgegners aufgrund dessen Säumnis bei der Lösung dieses Konflikts festzulegen.</w:t>
      </w:r>
    </w:p>
    <w:p>
      <w:r>
        <w:rPr>
          <w:b/>
        </w:rPr>
        <w:t>E. 2</w:t>
      </w:r>
    </w:p>
    <w:p>
      <w:r>
        <w:t>Es werden keine Gerichtskosten erhoben (Art. 423 Abs. 1 StPO).</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