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BG.2011.21 vom 5. Oktober 2011</w:t>
      </w:r>
    </w:p>
    <w:p>
      <w:r>
        <w:t>Bundesstrafgericht, 2011-10-05, DE</w:t>
      </w:r>
    </w:p>
    <w:p>
      <w:r>
        <w:rPr>
          <w:b/>
        </w:rPr>
        <w:t xml:space="preserve">Quelle: </w:t>
      </w:r>
      <w:r>
        <w:t>https://mcp.opencaselaw.ch/entscheid/bstger_BG.2011.21</w:t>
      </w:r>
    </w:p>
    <w:p>
      <w:r>
        <w:t>FR: TPF BG.2011.21 du 5 octobre 2011</w:t>
      </w:r>
    </w:p>
    <w:p>
      <w:r>
        <w:t>IT: TPF BG.2011.21 del 5 ottobre 2011</w:t>
      </w:r>
    </w:p>
    <w:p>
      <w:pPr>
        <w:pStyle w:val="Heading2"/>
      </w:pPr>
      <w:r>
        <w:t>Regeste</w:t>
      </w:r>
    </w:p>
    <w:p>
      <w:r>
        <w:t>Gerichtsstandskonflikt (Art. 40 Abs. 2 StPO).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t>Bellinzona, 5 . Oktober 2011</w:t>
      </w:r>
    </w:p>
    <w:p>
      <w:r>
        <w:t>Im Namen der I. Beschwerdekammer des Bundesstrafgerichts</w:t>
      </w:r>
    </w:p>
    <w:p>
      <w:r>
        <w:t>Der Präsident: Die Gerichtsschreiberin:</w:t>
      </w:r>
    </w:p>
    <w:p>
      <w:r>
        <w:t>Zustellung an</w:t>
      </w:r>
    </w:p>
    <w:p>
      <w:r>
        <w:t>- Generalstaatsanwaltschaft des Kantons Bern - Oberstaatsanwaltschaft des Kantons Zürich - Oberstaatsanwaltschaft des Kantons Aargau</w:t>
      </w:r>
    </w:p>
    <w:p>
      <w:r>
        <w:t>Rechtsmittelbelehrung Gegen diesen Entscheid ist kein ordentliches Rechtsmittel gegeben.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