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BG.2011.17 vom 15. Juli 2011</w:t>
      </w:r>
    </w:p>
    <w:p>
      <w:r>
        <w:t>Bundesstrafgericht, 2011-07-15, DE</w:t>
      </w:r>
    </w:p>
    <w:p>
      <w:r>
        <w:rPr>
          <w:b/>
        </w:rPr>
        <w:t xml:space="preserve">Quelle: </w:t>
      </w:r>
      <w:r>
        <w:t>https://mcp.opencaselaw.ch/entscheid/bstger_BG.2011.17</w:t>
      </w:r>
    </w:p>
    <w:p>
      <w:r>
        <w:t>FR: TPF BG.2011.17 du 15 juillet 2011</w:t>
      </w:r>
    </w:p>
    <w:p>
      <w:r>
        <w:t>IT: TPF BG.2011.17 del 15 luglio 2011</w:t>
      </w:r>
    </w:p>
    <w:p>
      <w:pPr>
        <w:pStyle w:val="Heading2"/>
      </w:pPr>
      <w:r>
        <w:t>Regeste</w:t>
      </w:r>
    </w:p>
    <w:p>
      <w:r>
        <w:t>Gerichtsstandskonflikt (Art. 40 Abs. 2 StPO).</w:t>
      </w:r>
    </w:p>
    <w:p>
      <w:pPr>
        <w:pStyle w:val="Heading2"/>
      </w:pPr>
      <w:r>
        <w:t>Erwägungen</w:t>
      </w:r>
    </w:p>
    <w:p>
      <w:r>
        <w:rPr>
          <w:b/>
        </w:rPr>
        <w:t>E. 23</w:t>
      </w:r>
    </w:p>
    <w:p>
      <w:r>
        <w:t>Mai 2011 abgelehnt wurde (Gesuchsbeilage 4).</w:t>
      </w:r>
    </w:p>
    <w:p>
      <w:r>
        <w:t>Mit Schreiben vom 31. Mai 2011 und vom 20. Juni 2011 gelangte die Ge- neralstaatsanwaltschaft des Kantons Bern mit einem identischen Ersuchen an die Oberstaatsanwaltschaft des Kantons Aargau (Gesuchsbeilagen 5 und 7), welche ihre Zuständigkeit am 9. Juni 2011 bzw. am 22. Juni 2011 erneut ablehnte (Gesuchsbeilagen 6 und 10).</w:t>
      </w:r>
    </w:p>
    <w:p>
      <w:r>
        <w:t>Ebenfalls mit dem Ersuchen um Verfahrensübernahme sandte die Gene- ralstaatsanwaltschaft des Kantons Bern mit Schreiben vom 17. Juni 2011 und 20. Juni 2011 sämtliche Akten an das Ministère Public Central des Kantons Waadt (Gesuchsbeilage 8 und 9), welches am 21. Juni 2011 wie- derum seine diesbezügliche Zuständigkeit ablehnte und die Akten zwecks Verfahrensübernahme an die Staatsanwaltschaft des Kantons Wallis wei- terleitete (Gesuchsbeilage 11). Mit Schreiben vom 28. Juni 2011 lehnte auch die Staatsanwaltschaft des Kantons Wallis die Zuständigkeit ab und retournierte die Akten an die Generalstaatsanwaltschaft des Kantons Bern (Gesuchsbeilage 12).</w:t>
      </w:r>
    </w:p>
    <w:p>
      <w:r>
        <w:t>C. Mit Gesuch vom 4. Juli 2011 gelangte die Generalstaatsanwaltschaft des Kantons Bern an die I. Beschwerdekammer des Bundesstrafgerichts und beantragt, die Behörden des Kantons Aargau, eventualiter jene des Kan- tons Wallis, seien zur Verfolgung und Beurteilung der A., B., C., D., E., F., G. und H. vorgehaltenen Taten für berechtigt und verpflichtet zu erklären (act. 1, S. 1).</w:t>
      </w:r>
    </w:p>
    <w:p>
      <w:r>
        <w:t>In der Gesuchsantwort vom 7. Juli 2011 schliesst sich das Ministère Public Central des Kantons Waadt dem Antrag der Generalstaatsanwaltschaft des Kantons Bern an (act. 3). Die Staatsanwaltschaft des Kantons Wallis schliesst sich ihrerseits in der Gesuchsantwort vom 11. Juli 2011 dem Hauptantrag des Gesuches an (act. 4). Die Oberstaatsanwaltschaft des Kantons Aargau verzichtete mit Eingabe vom 11. Juli 2011 unter Hinweis</w:t>
      </w:r>
    </w:p>
    <w:p>
      <w:r>
        <w:t>- 4 -</w:t>
      </w:r>
    </w:p>
    <w:p>
      <w:r>
        <w:t>auf die bereits erfolgte Gerichtsstandskorrespondenz auf die Einreichung einer Gesuchsantwort (act. 5).</w:t>
      </w:r>
    </w:p>
    <w:p>
      <w:r>
        <w:t>Auf die Ausführungen der Parteien und die eingereichten Akten wird, so- weit erforderlich, in den folgenden rechtlichen Erwägungen Bezug genom- men.</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Voraussetzung für die Anrufung der I. Beschwerdekammer ist allerdings, dass mit allen ernsthaft in Frage kommenden Kantonen ein Meinungsaustausch durchge- führt wurde (SCHWERI/BÄNZIGER, Interkantonale Gerichtsstandsbestimmung in Strafsachen, 2. Aufl., Bern 2004, N. 599). Die Behörden, welche berech- tigt sind, ihren Kanton im Meinungsaustausch und im Verfahren vor der I. Beschwerdekammer zu vertreten, bestimmen sich nach dem jeweiligen kantonalen Recht (Art. 14 Abs. 4 StPO; vgl. hierzu KUHN, Basler Kommen- tar, Basel 2011, Art. 39 StPO N. 9 sowie Art. 40 StPO N. 10; SCHMID, Handbuch des schweizerischen Strafprozessrechts, Zürich/St. Gallen 2009, N. 488; GALLIANI/MARCELLINI, Codice svizzero di procedura penale [CPP] - Commentario, Zurigo/San Gallo 2010, n. 5 ad art. 40 CPP).</w:t>
      </w:r>
    </w:p>
    <w:p>
      <w:r>
        <w:t>1.2 Der vorliegende Meinungsaustausch erfolgte unter Einbezug der Kantone Aargau, Bern, Waadt und Wallis (act. 1 und Gerichtsstandskorrespondenz). Damit liegt ein vollständiger Meinungsaustausch vor.</w:t>
      </w:r>
    </w:p>
    <w:p>
      <w:r>
        <w:t>- 5 -</w:t>
      </w:r>
    </w:p>
    <w:p>
      <w:r>
        <w:t>2.</w:t>
      </w:r>
    </w:p>
    <w:p>
      <w:r>
        <w:t>2.1 Die am 1. Januar 2011 neu in Kraft getretenen Bestimmungen der StPO geben zwar den Kantonen keine genau bestimmte Frist, innerhalb welcher sie nach einem gescheiterten Meinungsaustausch die I. Beschwerde- kammer des Bundesstrafgerichts anzurufen haben. In Art. 40 Abs. 2 StPO werden sie jedoch verpflichtet, dies „unverzüglich“ bzw. „sans retard“ bzw. „senza indugio“ zu tun. Gemäss TPF BG.2011.7 vom 17. Juni 2011 E. 2.2 (zur Publikation vorgesehen) wird im Normalfall auf die Frist von 10 Tagen gemäss Art. 396 Abs. 1 StPO verwiesen. Ein Abweichen von dieser Frist ist nur unter besonderen, von den Gesuchstellern zu spezifizierenden Um- ständen möglich.</w:t>
      </w:r>
    </w:p>
    <w:p>
      <w:r>
        <w:t>2.2 Der dem Gerichtsstandskonflikt zugrunde liegende Meinungsaustausch wurde mit Schreiben der Staatsanwaltschaft des Kantons Wallis vom</w:t>
      </w:r>
    </w:p>
    <w:p>
      <w:r>
        <w:rPr>
          <w:b/>
        </w:rPr>
        <w:t>E. 28</w:t>
      </w:r>
    </w:p>
    <w:p>
      <w:r>
        <w:t>Juni 2011 beendet (Gesuchsbeilage 12). Mit dem Gesuch vom 4. Ju- li 2011 ist die Frist von 10 Tagen gewahrt. Auch die übrigen Eintretensvor- aussetzungen geben vorliegend zu keinen weiteren Bemerkungen Anlass, weshalb auf das Gesuch einzutreten ist.</w:t>
      </w:r>
    </w:p>
    <w:p>
      <w:r>
        <w:t>3.</w:t>
      </w:r>
    </w:p>
    <w:p>
      <w:r>
        <w:t>3.1 Die Gerichtsstandsregeln gemäss Art. 31 ff. StPO entsprechen weitgehend den Bestimmungen nach Art. 340 ff. aStGB, welche bis zum Inkrafttreten der StPO am 1. Januar 2011 Geltung hatten. Es kann deshalb grundsätz- lich auf die bisherige Praxis zu Art. 340 ff. aStGB verwiesen werden (SCHMID, a.a.O, N. 442; FINGERHUT/LIEBER, Kommentar zur Schweizeri- schen Strafprozessordnung [StPO], Zürich 2010, Art. 31 StPO N. 1). Bege- hen mehrere Beschuldigte zusammen in verschiedenen Kantonen mehrere Delikte, so sind Art. 33 und Art. 34 Abs. 1 StPO so miteinander zu kombi- nieren, dass in der Regel alle Mitwirkenden an dem Orte verfolgt werden, wo von einem Mittäter die mit der schwersten Strafe bedrohte Tat verübt worden ist. Bei gleich schweren Strafdrohungen bestimmt sich der Ge- richtsstand für alle Beteiligten nach dem Ort, wo die Verfolgungshandlun- gen zuerst vorgenommen worden sind. Hat ein Mittäter nebst den in Mittä- terschaft verübten Taten noch alleine weitere Delikte verübt, ist der Ge- richtsstand dort, wo ein Täter die mit der schwersten Strafe bedrohte Tat begangen hat (SCHWERI/BÄNZIGER, a.a.O., N. 246).</w:t>
      </w:r>
    </w:p>
    <w:p>
      <w:r>
        <w:t>Allgemein gilt eine Untersuchung dann als angehoben und ein Täter dann als verfolgt, wenn eine Straf-, Untersuchungs- oder Polizeibehörde durch die Vornahme von Erhebungen oder in anderer Weise zu erkennen gege- ben hat, dass sie jemanden – einen bekannten oder noch unbekannten Tä-</w:t>
      </w:r>
    </w:p>
    <w:p>
      <w:r>
        <w:t>- 6 -</w:t>
      </w:r>
    </w:p>
    <w:p>
      <w:r>
        <w:t>ter – einer strafbaren Handlung verdächtigt, oder wenn eine solche Hand- lung wenigstens zum Gegenstand einer Strafanzeige oder eines Strafan- trags gemacht worden ist. Mit dem Eingang der Strafanzeige bei der zu- ständigen Behörde, insbesondere bei der gerichtlichen Polizei, ist die Un- tersuchung mit anderen Worten als angehoben zu betrachten (BARTETZKO, Basler Kommentar, Basel 2011, Art. 32 StPO N. 12; SCHWERI/BÄNZIGER, a.a.O., N. 142 m.w.H.; vgl. auch TPF BG.2006.18 vom 12. Mai 2006 E. 4.1, BG.2006.5 vom 25. April 2006 E. 3.1 und BK_G 166/04 vom 11. Novem- ber 2004 E. 2.2). Dabei spielt es keine Rolle, ob die Behörde der Strafan- zeige tatsächlich Folge leistet oder nicht, denn sie kann sich dem Gerichts- stand nicht dadurch entziehen, dass sie die Anzeige von der Hand weist, keine Ermittlungshandlungen durchführt oder keine Anklage erhebt (SCHWERI/BÄNZIGER, a.a.O., N. 142; BGE 114 IV 76 E. 2 und 3). Erforder- lich ist, dass sich die zeitlich erste Untersuchungshandlung anhand der Ak- ten nachweisen lässt (SCHWERI/BÄNZIGER, a.a.O., N. 152).</w:t>
      </w:r>
    </w:p>
    <w:p>
      <w:r>
        <w:t>3.2 Bei der Beurteilung der Gerichtsstandsfrage muss von der aktuellen Ver- dachtslage ausgegangen werden. Massgeblich ist nicht, was dem Beschul- digten schlussendlich nachgewiesen werden kann, sondern der Tatbe- stand, der Gegenstand der Untersuchung bildet, es sei denn, dieser erwei- se sich von vornherein als haltlos oder sei sicher ausgeschlossen. Der Ge- richtsstand bestimmt sich also nicht nach dem, was der Täter begangen hat, sondern nach dem, was ihm vorgeworfen wird, das heisst, was auf- grund der Aktenlage überhaupt in Frage kommt. Dabei stützt sich die I. Be- schwerdekammer immer auf Fakten, nicht auf Hypothesen (MOSER, Basler Kommentar, Basel 2011, Art. 34 StPO N. 11; GUIDON/BÄNZIGER, Die aktuel- le Rechtsprechung des Bundesstrafgerichts zum interkantonalen Gerichts- stand in Strafsachen, Jusletter 21. Mai 2007, [Rz 25] m.w.H., sowie Ent- scheid des Bundesstrafgerichts BG.2010.12 vom 8. September 2010, E. 2.2 m.w.H.). Es gilt der Grundsatz „in dubio pro duriore“, wonach im Zweifelsfall auf den für den Beschuldigten ungünstigeren Sachverhalt ab- zustellen und das schwerere Delikt anzunehmen ist (GUIDON/BÄNZIGER, a.a.O., [Rz 42] m.w.H.).</w:t>
      </w:r>
    </w:p>
    <w:p>
      <w:r>
        <w:t>Für die vorliegende Bestimmung des Gerichtsstandes massgeblich ist – aufgrund der gegenüber dem gewerbsmässig begangenen Diebstahl höhe- ren Mindeststrafdrohung – der Vorwurf des bandenmässig verübten Dieb- stahls im Sinne von Art. 139 Ziff. 3 Abs. 2 StGB. Zwischen den Parteien nicht strittig ist, dass die Beschuldigten in unterschiedlicher Zusammenset- zung rund um A. bandenmässige Diebstähle verübt haben. Uneinigkeit be- steht hingegen in der Frage, ab welchem Zeitpunkt hinsichtlich der verüb- ten Einbruchdiebstähle den Beteiligten die bandenmässige Tatbegehung</w:t>
      </w:r>
    </w:p>
    <w:p>
      <w:r>
        <w:t>- 7 -</w:t>
      </w:r>
    </w:p>
    <w:p>
      <w:r>
        <w:t>vorgeworfen werden kann und wo die erste Verfolgungshandlung vorge- nommen wurde.</w:t>
      </w:r>
    </w:p>
    <w:p>
      <w:r>
        <w:t>3.3 Bei der rechtlichen Handlungseinheit werden mehrere selbständig strafbare Handlungen im Sinne einer natürlichen Handlungsmehrheit durch ihre ge- setzliche Umschreibung im Tatbestand (gewerbsmässiges oder banden- mässiges Delikt oder Dauerdelikt) zu einer rechtlichen oder juristischen Handlungseinheit verschmolzen, die auch als Kollektivdelikt bezeichnet wird. Diese rechtliche Einheit besteht objektiv in gleich gelagerten Hand- lungen, die gegen das gleiche Rechtsgut gerichtet sind, an verschiedenen Orten begangen werden können, in einem zeitlichen Zusammenhang ste- hen und subjektiv auf einem alle Handlungen umfassenden Entschluss bzw. einem Gesamtvorsatz beruhen (Entscheide des Bundesstrafgerichts BG.2010.14 vom 20. September 2010, E. 2.2; BG.2008.1 vom 28. Janu- ar 2008, E. 4.4; BG.2007.3 vom 15. Februar 2007, E. 2.1). Nach der Recht- sprechung ist Bandenmässigkeit gegeben, wenn zwei oder mehrere Täter sich mit dem ausdrücklich oder konkludent geäusserten Willen zusammen- finden, inskünftig zur Verübung mehrerer selbstständiger, im einzelnen möglicherweise noch unbestimmter Straftaten zusammenzuwirken. Es macht hierbei keinen Unterschied, ob zwei oder mehr Täter vorhanden sind; entscheidend ist einzig der ausdrücklich oder konkludent manifestierte Wille, inskünftig zur Verübung mehrerer selbständiger, im einzelnen noch unbestimmter Straftaten zusammenzuwirken, und dieser Zusammen- schluss (auch nur zweier Personen) ist es, der den einzelnen psychisch und physisch stärkt, ihn deshalb besonders gefährlich macht und die Be- gehung von weiteren solchen Straftaten voraussehen lässt (vgl. BGE 124 IV 86 E. 2b S. 88 f. m.w.H.; bestätigt in BGE 135 IV 158 E. 2 und 3). Kein Kollektivdelikt, sondern blosse Handlungsmehrheit liegt dann vor, wenn ein Einzelakt mit den übrigen bandenmässig begangenen Delikten keinen Zu- sammenhang hat bzw. wenn hinsichtlich des Einzelaktes die für dessen Qualifikation als bandenmässig verübtes Delikt notwendigen gesetzlichen Voraussetzungen nicht vorliegen (Entscheide des Bundesstrafgerichts BG.2010.14 vom 20. September 2010, E. 2.2; BG.2010.6 vom 6. Juli 2010, E. 3.4; SK.2005.8 vom 26. Januar 2006, E. 2.3.2.a m.w.H.).</w:t>
      </w:r>
    </w:p>
    <w:p>
      <w:r>
        <w:t>3.4 Aus den Akten lässt sich hinsichtlich der Diebstähle in Z. (VD) vom 4./6. Juli 2009 und in Y. (BE) vom 12./13. August 2009 – selbst in Anwen- dung des Grundsatzes in dubio pro duriore – nicht auf eine bandenmässige Begehung schliessen. Zwar wurde bei beiden vorgenannten Diebstählen DNA-Material von A. festgestellt und es wird beim Einbruch in Z. vermutet, dass es sich um mehrere Täter gehandelt haben soll. Doch wer nebst A. an dieser Tat beteiligt gewesen sein soll, ob es überhaupt einen Mittäter ge-</w:t>
      </w:r>
    </w:p>
    <w:p>
      <w:r>
        <w:t>- 8 -</w:t>
      </w:r>
    </w:p>
    <w:p>
      <w:r>
        <w:t>geben hat, ist nicht ersichtlich. Diese Ausgangslage lässt keinen Schluss auf einen manifestierten Willen allfälliger Beteiligter hinsichtlich eines Zu- sammenwirkens im zuvor ausgeführten Sinne zu. Dagegen spricht auch der Umstand, dass zwischen den beiden Einbrüchen im Juli/August 2009 und der Einbruchserie ab Oktober 2010 ein Zeitraum von über einem Jahr liegt. Alleine der Umstand, dass C. bei einer polizeilichen Kontrolle in T. (ZH) am 14. August 2009, einen Tag nach dem Delikt in B., bei A. im Au- to angetroffen wurde, reicht für die Annahme einer bandenmässigen De- liktsbegehung nicht aus.</w:t>
      </w:r>
    </w:p>
    <w:p>
      <w:r>
        <w:t>Von einer bandenmässigen Begehung ist somit erst für die im Jahre 2010 verübten Delikte auszugehen. Der erste Einbruch der Deliktsserie erfolgte am 13./14. Oktober 2010 in das Schuhgeschäft in X. (AG). So gestand C. in seiner Einvernahme vom 2. Februar 2011 ein, mit F. und A. mehrere Ein- brüche, so auch denjenigen in ein Schuhgeschäft in X. verübt zu haben (vgl. Gesuchsbeilage 17, S. 3). Dass C. bei der zeitlichen Einordnung ge- wisse Schwierigkeiten zeigt, vermag aufgrund der Aktenlage und seiner ansonsten detaillierten Aussage keine ernsthaften Zweifel am Deliktszeit- punkt vom 13./14. Oktober 2010 oder am Deliktsobjekt zu begründen. So- mit steht fest, dass der erste Einbruch der Deliktsserie am 13./14. Oktober 2010 in das Schuhgeschäft in X. (AG) erfolgte. Die Anzeige dieses Delikts erfolge am 14. Oktober 2010 bei der Kantonspolizei Aargau (Gesuchsbei- lage 23). Somit steht fest, dass die erste Verfolgungshandlung für das schwerste in Frage stehende Delikt im Kanton Aargau erfolgt ist.</w:t>
      </w:r>
    </w:p>
    <w:p>
      <w:r>
        <w:t>4. Gestützt auf die vorangehenden Ausführungen liegt der gesetzliche Ge- richtsstand im Kanton Aargau. Dieser ist demnach zur Verfolgung und Be- urteilung der A., B., C., D., E., F., G. und H. zur Last gelegten Straftaten für berechtigt und verpflichtet zu erklären. Das Gesuch des Kantons Bern ist somit gutzuheissen.</w:t>
      </w:r>
    </w:p>
    <w:p>
      <w:r>
        <w:t>5. Es werden keine Gerichtskosten erhoben (Art. 423 Abs. 1 StPO).</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