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BG.2011.15 vom 13. Juli 2011</w:t>
      </w:r>
    </w:p>
    <w:p>
      <w:r>
        <w:t>Bundesstrafgericht, 2011-07-13, DE</w:t>
      </w:r>
    </w:p>
    <w:p>
      <w:r>
        <w:rPr>
          <w:b/>
        </w:rPr>
        <w:t xml:space="preserve">Quelle: </w:t>
      </w:r>
      <w:r>
        <w:t>https://mcp.opencaselaw.ch/entscheid/bstger_BG.2011.15</w:t>
      </w:r>
    </w:p>
    <w:p>
      <w:r>
        <w:t>FR: TPF BG.2011.15 du 13 juillet 2011</w:t>
      </w:r>
    </w:p>
    <w:p>
      <w:r>
        <w:t>IT: TPF BG.2011.15 del 13 luglio 2011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t>Bellinzona, 15. Juli 2011</w:t>
      </w:r>
    </w:p>
    <w:p>
      <w:r>
        <w:t>Im Namen der I.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Generalstaatsanwaltschaft des Kantons Bern - Oberstaatsanwaltschaft des Kantons Aargau - Staatsanwaltschaft des Kantons Basel-Stadt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