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BG.2011.14 vom 15. Juli 2011</w:t>
      </w:r>
    </w:p>
    <w:p>
      <w:r>
        <w:t>Bundesstrafgericht, 2011-07-15, DE</w:t>
      </w:r>
    </w:p>
    <w:p>
      <w:r>
        <w:rPr>
          <w:b/>
        </w:rPr>
        <w:t xml:space="preserve">Quelle: </w:t>
      </w:r>
      <w:r>
        <w:t>https://mcp.opencaselaw.ch/entscheid/bstger_BG.2011.14</w:t>
      </w:r>
    </w:p>
    <w:p>
      <w:r>
        <w:t>FR: TPF BG.2011.14 du 15 juillet 2011</w:t>
      </w:r>
    </w:p>
    <w:p>
      <w:r>
        <w:t>IT: TPF BG.2011.14 del 15 luglio 2011</w:t>
      </w:r>
    </w:p>
    <w:p>
      <w:pPr>
        <w:pStyle w:val="Heading2"/>
      </w:pPr>
      <w:r>
        <w:t>Regeste</w:t>
      </w:r>
    </w:p>
    <w:p>
      <w:r>
        <w:t>Gerichtsstandskonflikt (Art. 40 Abs. 2 StPO).</w:t>
      </w:r>
    </w:p>
    <w:p>
      <w:pPr>
        <w:pStyle w:val="Heading2"/>
      </w:pPr>
      <w:r>
        <w:t>Erwägungen</w:t>
      </w:r>
    </w:p>
    <w:p>
      <w:r>
        <w:rPr>
          <w:b/>
        </w:rPr>
        <w:t>E. 1</w:t>
      </w:r>
    </w:p>
    <w:p>
      <w:r>
        <w:t>März 2011 wiederum seine Unzuständigkeit erklärte und die Übernahme des Verfahrens gegen A. ablehnte. Am 7. März 2011 gelangte der Kanton Thurgau schliesslich an die Oberstaatsanwaltschaft des Kantons Zürich mit der Einladung zu einem Meinungsaustausch (Gesuchsbeilage 1). Die Oberstaatsanwaltschaft des Kantons Zürich lehnte am 16. Mai 2011 seine Zuständigkeit ab und beantragte bei der Generalstaatsanwaltschaft des Kantons Thurgau die Verfahrensübernahme (Gesuchsbeilage 4). Am 27. Mai 2011 lehnte die Generalstaatsanwaltschaft des Kantons Thurgau die Zuständigkeit im Verfahren gegen A. ab (Gesuchsbeilage 7).</w:t>
      </w:r>
    </w:p>
    <w:p>
      <w:r>
        <w:t>C. Die Oberstaatsanwaltschaft des Kantons Zürich gelangte am 22. Juni 2011 an die I. Beschwerdekammer des Bundesstrafgerichts mit dem Gesuch, es seien die Strafbehörden des Kantons Thurgau für berechtigt und verpflich- tet zu erklären, die der beschuldigten Person zur Last gelegten Straftaten zu verfolgen und zu beurteilen (act. 1).</w:t>
      </w:r>
    </w:p>
    <w:p>
      <w:r>
        <w:t>- 3 -</w:t>
      </w:r>
    </w:p>
    <w:p>
      <w:r>
        <w:t>Auf die Ausführungen der Parteien und die eingereichten Akten wird, so- weit erforderlich, in den folgenden rechtlichen Erwägungen Bezug genom- men.</w:t>
      </w:r>
    </w:p>
    <w:p>
      <w:r>
        <w:t>Die I. Beschwerdekammer zieht in Erwägung:</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 I. Beschwerdekammer des Bundesstrafgerichts zum Entscheid (Art. 40 Abs. 2 StPO i.V.m. Art. 37 Abs. 1 StBOG und Art. 19 Abs. 1 des Organisa- tionsreglements vom 31. August 2010 für das Bundesstrafgericht [Organi- sationsreglement BStGer, BStGerOR; SR 173.713.161]). Voraussetzung für die Anrufung der I. Beschwerdekammer ist allerdings, dass mit allen ernsthaft in Frage kommenden Kantonen ein Meinungsaustausch durchge- führt wurde (SCHWERI/BÄNZIGER, Interkantonale Gerichtsstandsbestimmung in Strafsachen, 2. Aufl., Bern 2004, N. 599). Die Behörden, welche berech- tigt sind, ihren Kanton im Meinungsaustausch und im Verfahren vor der I. Beschwerdekammer zu vertreten, bestimmen sich nach dem jeweiligen kantonalen Recht (Art. 14 Abs. 4 StPO; vgl. hierzu KUHN, Basler Kommen- tar, Basel 2011, Art. 39 StPO N. 9 sowie Art. 40 StPO N. 10; SCHMID, Handbuch des schweizerischen Strafprozessrechts, Zürich/St. Gallen 2009, N. 488; GALLIANI/MARCELLINI, Codice svizzero di procedura penale [CPP] - Commentario, Zurigo/San Gallo 2010, n. 5 ad art. 40 CPP).</w:t>
      </w:r>
    </w:p>
    <w:p>
      <w:r>
        <w:rPr>
          <w:b/>
        </w:rPr>
        <w:t>E. 1.2</w:t>
      </w:r>
    </w:p>
    <w:p>
      <w:r>
        <w:t>Die am 1. Januar 2011 neu in Kraft getretenen Bestimmungen der StPO geben den Kantonen zwar keine genau bestimmte Frist, innerhalb welcher sie nach einem gescheiterten Meinungsaustausch die I. Beschwerde- kammer des Bundesstrafgerichts anzurufen haben. In Art. 40 Abs. 2 StPO werden sie jedoch verpflichtet, dies „unverzüglich“ bzw. „sans retard“ bzw. „senza indugio“ zu tun. Gemäss TPF BG.2011.7 vom 17. Juni 2011 E. 2.2 (zur Publikation vorgesehen) wird im Normalfall auf die Frist von 10 Tagen gemäss Art. 396 Abs. 1 StPO verwiesen. Ein Abweichen von dieser Frist ist</w:t>
      </w:r>
    </w:p>
    <w:p>
      <w:r>
        <w:t>- 4 -</w:t>
      </w:r>
    </w:p>
    <w:p>
      <w:r>
        <w:t>nur unter besonderen, von den Gesuchstellern zu spezifizierenden Um- ständen möglich.</w:t>
      </w:r>
    </w:p>
    <w:p>
      <w:r>
        <w:rPr>
          <w:b/>
        </w:rPr>
        <w:t>E. 1.3</w:t>
      </w:r>
    </w:p>
    <w:p>
      <w:r>
        <w:t>Der dem Gerichtsstandskonflikt zugrunde liegende Meinungsaustausch zwischen dem Kanton Thurgau und dem Kanton Zürich wurde mit Schrei- ben der Generalstaatsanwaltschaft des Kantons Thurgau vom 27. Mai 2011 beendet (Gesuchsbeilage 7). Die Anrufung der I. Beschwer- dekammer des Bundesstrafgerichts erfolgte mithin beinahe vier Wochen nach Abschluss des Meinungsaustausches zwischen den beteiligten Kan- tonen und daher nach der oben dargelegten Praxis der I. Beschwerde- kammer des Bundesstrafgerichts verspätet, wurden doch keine Gründe für ein ausnahmsweise mögliches Abweichen von der zehntägigen Frist zur Einreichung des Gesuchs geltend gemacht. Gemäss diesen Ausführungen kann auf das Gesuch nicht eingetreten werden.</w:t>
      </w:r>
    </w:p>
    <w:p>
      <w:r>
        <w:rPr>
          <w:b/>
        </w:rPr>
        <w:t>E. 2</w:t>
      </w:r>
    </w:p>
    <w:p>
      <w:r>
        <w:t>Es werden keine Kosten erhoben (Art. 423 Abs. 1 StPO).</w:t>
      </w:r>
    </w:p>
    <w:p>
      <w:r>
        <w:t>- 5 -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