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BG.2010.4 vom 13. September 2010</w:t>
      </w:r>
    </w:p>
    <w:p>
      <w:r>
        <w:t>Bundesstrafgericht, 2010-09-13, FR</w:t>
      </w:r>
    </w:p>
    <w:p>
      <w:r>
        <w:rPr>
          <w:b/>
        </w:rPr>
        <w:t xml:space="preserve">Quelle: </w:t>
      </w:r>
      <w:r>
        <w:t>https://mcp.opencaselaw.ch/entscheid/bstger_BG.2010.4</w:t>
      </w:r>
    </w:p>
    <w:p>
      <w:r>
        <w:t>FR: TPF BG.2010.4 du 13 septembre 2010</w:t>
      </w:r>
    </w:p>
    <w:p>
      <w:r>
        <w:t>IT: TPF BG.2010.4 del 13 settembre 2010</w:t>
      </w:r>
    </w:p>
    <w:p>
      <w:pPr>
        <w:pStyle w:val="Heading2"/>
      </w:pPr>
      <w:r>
        <w:t>Regeste</w:t>
      </w:r>
    </w:p>
    <w:p>
      <w:r>
        <w:t>Compétence ratione loci (art. 279 al. 2 PPF).</w:t>
      </w:r>
    </w:p>
    <w:p>
      <w:pPr>
        <w:pStyle w:val="Heading2"/>
      </w:pPr>
      <w:r>
        <w:t>Erwägungen</w:t>
      </w:r>
    </w:p>
    <w:p>
      <w:r>
        <w:rPr>
          <w:b/>
        </w:rPr>
        <w:t>E. 1.1</w:t>
      </w:r>
    </w:p>
    <w:p>
      <w:r>
        <w:t>Selon l’art. 279 al. 2 PPF en lien avec l’art. 28 al. 1 let. g LTPF et l’art. 9 al. 2 du règlement du 20 juin 2006 sur le Tribunal pénal fédéral (RS 173.710), un recours peut être interjeté contre la décision portant sur la juridiction de la Confédération ou d’un canton prise par les autorités canto- nales de poursuite pénale, les art. 214 à 219 PPF étant alors applicables par analogie. En conséquence, le dépôt du recours doit être fait dans les cinq jours à compter de celui où le recourant a eu connaissance de la déci- sion entreprise (art. 217 PPF; cf. à ce propos TPF 2005 139 consid. 1.2; GUIDON/BÄNZIGER, Die aktuelle Rechtsprechung des Bundesstrafgerichts zum interkantonalen Gerichtsstand in Strafsachen, in Jusletter du 21 mai 2007, [no 16] et références citées).</w:t>
      </w:r>
    </w:p>
    <w:p>
      <w:r>
        <w:rPr>
          <w:b/>
        </w:rPr>
        <w:t>E. 1.2.1</w:t>
      </w:r>
    </w:p>
    <w:p>
      <w:r>
        <w:t>L’art. 214 al. 2 PPF prévoit que le droit de recours appartient aux parties, ainsi qu’à toute personne à qui l’opération ou l’omission a fait subir un pré- judice illégitime. Sont considérés comme parties l’inculpé, le procureur gé- néral et tout lésé qui se constitue partie civile (art. 34 PPF). De jurisprudence constante, la légitimation pour se plaindre suppose l’existence d’un préjudice personnel et direct; en d’autres termes, seule est recevable à se plaindre la personne – partie ou non au sens de l’art. 34 PPF – qui est atteinte par la décision entreprise et dispose d’un intérêt di- gne de protection (« Beschwer ») à ce qu’elle soit annulée ou modifiée (ar-</w:t>
      </w:r>
    </w:p>
    <w:p>
      <w:r>
        <w:t>- 5 -</w:t>
      </w:r>
    </w:p>
    <w:p>
      <w:r>
        <w:t>rêts du Tribunal pénal fédéral BB.2009.86 du 18 novembre 2009 p. 3; BB.2005.123-124 du 9 février 2006, consid. 1.4; BK_B 064/04b du 25 octo- bre 2004, consid. 2; BK_B 064/04a du 30 juillet 2004, consid. 1.2 et 1.3). L’intérêt digne de protection consiste dans l’utilité pratique que l’admission du recours représenterait pour le recourant ou dans le fait d’éviter un préju- dice de nature économique, idéale, matérielle ou autre que la décision at- taquée causerait à ce dernier (arrêt du Tribunal pénal fédéral BK_B 064/04a précité, consid. 1.2 in fine). A cet égard, doctrine et jurisprudence s’accordent à considérer que, lors- que deux cantons se sont entendus sur la fixation d’un for intercantonal, la partie civile, à l’instar de la victime LAVI, ne subit en règle générale aucun préjudice de ce fait, et n’est par conséquent pas légitimée à remettre en question ledit for par le biais d’un recours à l’autorité de céans (arrêt du Tri- bunal pénal fédéral BG.2006.36 du 8 mars 2007, consid. 1.2; SCHWE- RI/BÄNZIGER, Interkantonale Gerichtsstandsbestimmung in Strafsachen, 2ème éd., Berne 2004, nos 608 s.; GUIDON/BÄNZIGER, op. cit., [no 14] et réfé- rences citées).</w:t>
      </w:r>
    </w:p>
    <w:p>
      <w:r>
        <w:rPr>
          <w:b/>
        </w:rPr>
        <w:t>E. 1.2.2</w:t>
      </w:r>
    </w:p>
    <w:p>
      <w:r>
        <w:t>Le recourant invoque, à l’appui de sa démarche devant la Cour de céans, « ein rechtlich geschütztes ideelles, strafrechtliches Interesse an der Straf- verfolgung » (act. 9, ch. 5), estimant par ailleurs disposer d’« einen mate- riellen und einen ideellen Anspruch, dass die Taten geklärt werden, da sie das Andenken von B. und seiner Ehefrau sowie das von B. ausdrücklich für ihn bestimmte Vermögen betreffen. » (act. 1, ch. 8). A en croire le recourant, la question de la compétence cantonale « kann […] sehr wohl einen Nachteil darstellen […]. Dies namentlich dann, wenn, wie vorliegend, ein Kanton in der Sache ein Eigeninteresse besitzt, das ihn an der unabhängigen Anwendung und Durchsetzung des Rechts hindert. » (act. 9, ch. 6).</w:t>
      </w:r>
    </w:p>
    <w:p>
      <w:r>
        <w:rPr>
          <w:b/>
        </w:rPr>
        <w:t>E. 1.2.3</w:t>
      </w:r>
    </w:p>
    <w:p>
      <w:r>
        <w:t>Force est de constater que les quelques éléments allégués par le recourant pour fonder l’existence d’un préjudice illégitime à son égard – condition né- cessaire pour être légitimé à recourir devant l’autorité de céans (supra, consid. 1.1.1) – apparaissent, sinon hors de propos, à tout le moins impro- pres à atteindre le but poursuivi. Il appert que le fait de se prévaloir d’un intérêt « an der Strafverfolgung » n’est pas pertinent dans l’hypothèse – réalisée en l’espèce – où deux can- tons se sont précisément entendus pour que l’un d’entre eux se charge de procéder à l’instruction de la cause, pareil constat valant également pour le droit « matériel et idéal » revendiqué par le recourant à ce que les faits dé- noncés par ses soins soient éclaircis (act. 9, ch. 5 et act. 1, ch. 8). En effet,</w:t>
      </w:r>
    </w:p>
    <w:p>
      <w:r>
        <w:t>- 6 -</w:t>
      </w:r>
    </w:p>
    <w:p>
      <w:r>
        <w:t>répondre à la question de savoir si le recourant dispose d’un intérêt à la poursuite pénale en tant que telle, respectivement à l’instruction de la cause par lui dénoncée, n’incombe pas à l’autorité de céans, à tout le moins au stade de l’examen de la qualité pour agir. Seule est déterminante à cet égard la question de savoir si la décision attaquée – soit ici la déci- sion constatant le for vaudois – est susceptible de causer au recourant un préjudice de nature économique, idéale, matérielle ou autre. En fin de compte, il apparaît que le recourant fonde l’existence d’un tel pré- judice sur la partialité dont feraient preuve, selon lui, les autorités judiciaires vaudoises dans l’exercice de la justice, mues qu’elles seraient par l’intérêt propre du canton de Vaud en la présente espèce (act. 1, ch. 25 ss; act. 9, ch. 8), affirmant notamment « [d]ass im Kanton Waadt kein unabhängiges, unparteiisches und gerechtes Verfahren im Sinne von Art. 29 Abs. 1 und Art. 30 Abs. 1 BV sowie von Art. 6 Ziff. 1 EMRK erwartet werden kann, zeigt die vom Waadtländer Tribunal d’accusation bestätigte Sistierung, wel- che das strafrechtliche Grundprinzip der Legalität grob verletzt, indem sie auf ungewisse (zudem hier irrelevante) künftige Entwicklungen abstellt, während das Strafgesetz an die tatsächlichen und rechtlichen Verhältnisse zur Tatzeit anknüpft » (act. 9, ch. 7). Pareil grief tendant à jeter le discrédit sur un pan entier d’un appareil judi- ciaire cantonal – outre qu’il se révèle particulièrement inconvenant de la part d’un mandataire professionnel – confine à la témérité et doit pour cette raison déjà être déclaré irrecevable. Il apparaît par surabondance que le recourant, en soulevant ce moyen dans la présente procédure, tente de remettre en cause les décisions de suspension de procédure rendues par le JIC-VD en date des 14 décembre 2006 et 18 mars 2010 (supra, let. C et F). Lesdites décisions ressortissent à la compétence cantonale et peuvent, le cas échéant, être entreprises devant les instances compétentes, soit dans un premier temps le Tribunal cantonal vaudois (Tribunal d’accusation), voire ensuite le Tribunal fédéral. La Cour des plaintes du Tribunal pénal fédéral n’intervient qu’en tant qu’est litigieuse la question du for intercantonal, et n’a pas à se voir soumises, par la bande, des questions tranchées par les instances compétentes à cet égard. On relèvera que le recourant avait attaqué – sans succès – la décision de suspension du 14 décembre 2006 tant devant le Tribunal d’accusation vaudois (act. 1.12), que devant le Tribunal fédéral (arrêt du Tribunal fédéral 1B_57/2007 du 18 juillet 2007), ce dernier ayant déclaré le recours irrecevable pour défaut de paiement de l’avance de frais requise. Dans la mesure où l’argumentation du recourant se révèle en substance dirigée contre la sus- pension, respectivement les suspensions dont font l’objet les procédures pénales ouvertes dans le canton de Vaud ensuite de ses dénonciations,</w:t>
      </w:r>
    </w:p>
    <w:p>
      <w:r>
        <w:t>- 7 -</w:t>
      </w:r>
    </w:p>
    <w:p>
      <w:r>
        <w:t>c’est en finalité la décision de suspension du 18 mars 2010 que le recou- rant aurait dû entreprendre devant les autorités compétentes, afin d’adresser à ces dernières les griefs qu’il tente à tort de soumettre à l’appréciation de la Cour de céans. Le recourant ne peut – et ne doit – s’en prendre qu’à lui-même s’il a jugé « überflüssig » de contester l’ordonnance en question au vu du rejet, par le Tribunal d’accusation vaudois, de son re- cours contre la première suspension en janvier 2007 (supra, let. C), et s’il a estimé qu’un nouveau recours devant cette autorité « würde bloss eine zu- sätzliche und kostspielige Verzögerung bewirken » (act. 9, ch. 7 in fine).</w:t>
      </w:r>
    </w:p>
    <w:p>
      <w:r>
        <w:t>Sur le vu de ce qui précède, il apparaît que le recourant, en dépit de sa constitution comme partie civile – semble-t-il non remise en question par le JIC-VD – ne peut se prévaloir d’un intérêt digne de protection conduisant à déroger à la règle selon laquelle lorsque deux cantons se sont entendus sur la fixation d’un for intercantonal, la partie civile, à l’instar de la victime LAVI, ne subit en règle générale aucun préjudice de ce fait, et n’est par conséquent pas légitimée à remettre en question ledit for par le biais d’un recours à l’autorité de céans (supra, consid. 1.2.1 et références citées).</w:t>
      </w:r>
    </w:p>
    <w:p>
      <w:r>
        <w:rPr>
          <w:b/>
        </w:rPr>
        <w:t>E. 2</w:t>
      </w:r>
    </w:p>
    <w:p>
      <w:r>
        <w:t>Le recours doit par conséquent être déclaré irrecevable.</w:t>
      </w:r>
    </w:p>
    <w:p>
      <w:r>
        <w:rPr>
          <w:b/>
        </w:rPr>
        <w:t>E. 3</w:t>
      </w:r>
    </w:p>
    <w:p>
      <w:r>
        <w:t>Une indemnité de Fr. 750.--, TVA incluse, est allouée à E., à la charge de A.</w:t>
      </w:r>
    </w:p>
    <w:p>
      <w:r>
        <w:rPr>
          <w:b/>
        </w:rPr>
        <w:t>E. 3.1</w:t>
      </w:r>
    </w:p>
    <w:p>
      <w:r>
        <w:t>Le recourant, qui succombe, supportera les frais de la cause, y compris le volet relatif à l’assistance judiciaire (art. 66 al. 1 LTF par renvoi de l’art. 245 al. 1 PPF), lesquels sont fixés à Fr. 1'500.-- (art. 3 du règlement du 11 fé- vrier 2004 fixant les émoluments judiciaires perçus par le Tribunal pénal fé- déral; RS 173.711.32), réputés couverts par l’avance de frais déjà versée.</w:t>
      </w:r>
    </w:p>
    <w:p>
      <w:r>
        <w:rPr>
          <w:b/>
        </w:rPr>
        <w:t>E. 3.2</w:t>
      </w:r>
    </w:p>
    <w:p>
      <w:r>
        <w:t>A teneur de l'art. 68 al. 1 LTF, le tribunal décide, en statuant sur la contes- tation elle-même, si et dans quelle mesure les frais de la partie qui obtient gain de cause seront supportés par celle qui succombe. En l’espèce, E. et F., visés personnellement par la démarche de A. auprès des autorités zuri- choises, respectivement vaudoises, ont sollicité le droit de se déterminer sur la démarche du recourant devant la Cour de céans, ce qui, au vu du dossier de la cause, a été autorisé par le Juge rapporteur par courrier moti- vé (supra, let. H). Tant E. que F. ont déposé une écriture et conclu à l’irrecevabilité, subsidiairement au rejet du recours de A., le tout sous suite de frais et dépens (act. 22 et 23). Au vu du sort recours, force est de cons- tater qu’ils ont obtenu gain de cause. Etant représentés par des avocats, ils ont droit à une indemnité équitable pour les frais indispensables occasion- nés par le litige. L’art. 3 du règlement du 11 février 2004 sur les dépens et</w:t>
      </w:r>
    </w:p>
    <w:p>
      <w:r>
        <w:t>- 8 -</w:t>
      </w:r>
    </w:p>
    <w:p>
      <w:r>
        <w:t>indemnités alloués devant le Tribunal pénal fédéral (RS 173.711.31; ci- après: le règlement) prévoit que les honoraires des avocats sont fixés en fonction du temps consacré à la cause et nécessaire à la défense de la partie représentée. Le tarif horaire est de Fr. 200.-- au minimum et de Fr. 300.-- au maximum (art. 3 al. 1 du règlement), étant précisé que le tarif usuellement appliqué par la Cour de céans est de Fr. 220.-- par heure (ar- rêt du Tribunal pénal fédéral BB.2009.17 du 18 août 2009, consid. 6.2). En l’absence d’un mémoire d’honoraires, l’autorité saisie de la cause fixe l’indemnité selon sa propre appréciation (art. 3 al. 2 du règlement). Compte tenu de la nature de l’affaire et de l’activité déployée par les défenseurs de E. et F. dans le cadre de la présente procédure, l’octroi d’une indemnité de Fr. 750.--, TVA incluse, à chacun d’entre eux paraît justifiée. Les deux in- demnités sont mises à la charge du recourant, partie qui succombe en la présente cause.</w:t>
      </w:r>
    </w:p>
    <w:p>
      <w:r>
        <w:t>- 9 -</w:t>
      </w:r>
    </w:p>
    <w:p>
      <w:r>
        <w:t>Par ces motifs, la Ire Cour des plaintes prononce:</w:t>
      </w:r>
    </w:p>
    <w:p>
      <w:r>
        <w:t>1. Le recours est irrecevable.</w:t>
      </w:r>
    </w:p>
    <w:p>
      <w:r>
        <w:t>2. Un émolument de Fr. 1'500.-- réputé couvert par l’avance de frais acquittée est mis à la charge du recourant.</w:t>
      </w:r>
    </w:p>
    <w:p>
      <w:r>
        <w:rPr>
          <w:b/>
        </w:rPr>
        <w:t>E. 4</w:t>
      </w:r>
    </w:p>
    <w:p>
      <w:r>
        <w:t>Une indemnité de Fr. 750.--, TVA incluse, est allouée à F., à la charge de A.</w:t>
      </w:r>
    </w:p>
    <w:p>
      <w:r>
        <w:t>Bellinzone, le 13 septembre 2010</w:t>
      </w:r>
    </w:p>
    <w:p>
      <w:r>
        <w:t>Au nom de la Ire Cour des plaintes du Tribunal pénal fédéral</w:t>
      </w:r>
    </w:p>
    <w:p>
      <w:r>
        <w:t>Le président:</w:t>
      </w:r>
    </w:p>
    <w:p>
      <w:r>
        <w:t>Le greffier:</w:t>
      </w:r>
    </w:p>
    <w:p>
      <w:r>
        <w:t>Distribution</w:t>
      </w:r>
    </w:p>
    <w:p>
      <w:r>
        <w:t>- Me Julius Effenberger, avocat - Canton de Vaud, Juge d'instruction cantonal - Kanton Zürich, Oberstaatsanwaltschaft - Me Christoph Hohler, avocat - Me Paul Baumgartner, avocat</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