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BG.2010.17 vom 1. Dezember 2010</w:t>
      </w:r>
    </w:p>
    <w:p>
      <w:r>
        <w:t>Bundesstrafgericht, 2010-12-01, DE</w:t>
      </w:r>
    </w:p>
    <w:p>
      <w:r>
        <w:rPr>
          <w:b/>
        </w:rPr>
        <w:t xml:space="preserve">Quelle: </w:t>
      </w:r>
      <w:r>
        <w:t>https://mcp.opencaselaw.ch/entscheid/bstger_BG.2010.17</w:t>
      </w:r>
    </w:p>
    <w:p>
      <w:r>
        <w:t>FR: TPF BG.2010.17 du 1 décembre 2010</w:t>
      </w:r>
    </w:p>
    <w:p>
      <w:r>
        <w:t>IT: TPF BG.2010.17 del 1 dicembre 2010</w:t>
      </w:r>
    </w:p>
    <w:p>
      <w:pPr>
        <w:pStyle w:val="Heading2"/>
      </w:pPr>
      <w:r>
        <w:t>Regeste</w:t>
      </w:r>
    </w:p>
    <w:p>
      <w:r>
        <w:t>Örtliche Zuständigkeit (Art. 279 Abs. 1 BStP i.V.m. Art. 345 StGB).</w:t>
      </w:r>
    </w:p>
    <w:p>
      <w:pPr>
        <w:pStyle w:val="Heading2"/>
      </w:pPr>
      <w:r>
        <w:t>Erwägungen</w:t>
      </w:r>
    </w:p>
    <w:p>
      <w:r>
        <w:rPr>
          <w:b/>
        </w:rPr>
        <w:t>E. 22</w:t>
      </w:r>
    </w:p>
    <w:p>
      <w:r>
        <w:t>Oktober 2009 beim Geschädigten in Deutschland ein. Da das Briefcou- vert nicht mehr vorhanden ist, ist unklar, wo die Rechnung der Post aufge- geben wurde. Die Rechnung enthält die obgenannte Adresse in W., und als Geschäftsinhaber wird A. angegeben. Als Zahlstelle wird ein Konto bei der Bank G. (IBAN: DE….) in Deutschland aufgeführt (act. 1, S. 1, Akten Staatsanwaltschaft Aurich, act. 11).</w:t>
      </w:r>
    </w:p>
    <w:p>
      <w:r>
        <w:t>Am 23. Oktober 2009 erfolgte die Strafanzeige durch den Geschädigten in Deutschland.</w:t>
      </w:r>
    </w:p>
    <w:p>
      <w:r>
        <w:t>B. Mit Schreiben vom 15. März 2010 stellte die Staatsanwaltschaft Aurich, Deutschland, bei der Oberstaatsanwaltschaft Zürich ein Gesuch um Straf- übernahme (Faszikel Akten StA Aurich, nicht paginiert), worauf die Staats-</w:t>
      </w:r>
    </w:p>
    <w:p>
      <w:r>
        <w:t>- 3 -</w:t>
      </w:r>
    </w:p>
    <w:p>
      <w:r>
        <w:t>anwaltschaft Zürich-Limmat die Strafübernahme mit Schreiben vom 3. Au- gust 2010 bestätigte (Akten Strafübernahme, nicht paginiert).</w:t>
      </w:r>
    </w:p>
    <w:p>
      <w:r>
        <w:t>C. Nach einem ersten Meinungsaustausch mit den Strafverfolgungsbehörden des Kantons Basel-Stadt und anschliessenden ergänzenden Abklärungen, gelangte die Oberstaatsanwaltschaft des Kantons Zürich mit Schreiben vom 4. Oktober 2010 an die Staatsanwaltschaft Basel-Stadt und ersuchte diese um die Übernahme des Strafverfahrens (Einlegerakten, nicht pagi- niert). Mit Schreiben vom 11. Oktober 2010 lehnte die Staatsanwaltschaft Basel-Stadt die Übernahme des Gerichtsstandes ab (Einlegerakten, nicht paginiert).</w:t>
      </w:r>
    </w:p>
    <w:p>
      <w:r>
        <w:t>D. Mit Gesuch vom 25. Oktober 2010 gelangte der Oberstaatsanwalt des Kan- tons Zürich an die I. Beschwerdekammer des Bundesstrafgerichts und be- antragt, der Kanton Basel-Stadt sei zur Verfolgung und Beurteilung der A. zur Last gelegten strafbaren Handlungen für berechtigt und verpflichtet zu erklären (act. 1).</w:t>
      </w:r>
    </w:p>
    <w:p>
      <w:r>
        <w:t>Die Staatsanwaltschaft des Kantons Basel-Stadt lehnt den Gerichtsstand in ihrer Gesuchsantwort vom 10. November 2008 ab. Es gehe nicht an, dass die sich als örtlich unzuständig erachtende kantonale Behörde die Über- nahme eines ausländischen Strafverfahrens erkläre, anstatt das ausländi- sche Ersuchen an diejenige Behörde weiterzuleiten, welche sie nun als gemäss Art. 342 StGB für zuständig erklärt sehen möchte (act. 3, S. 3).</w:t>
      </w:r>
    </w:p>
    <w:p>
      <w:r>
        <w:t>Auf die Ausführungen der Parteien sowie die eingereichten Akten wird, so- weit erforderlich, in den nachfolgenden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w:t>
      </w:r>
    </w:p>
    <w:p>
      <w:r>
        <w:t>- 4 -</w:t>
      </w:r>
    </w:p>
    <w:p>
      <w:r>
        <w:t>I. Beschwerdekammer besteht für die Kantone nicht (SCHWERI/BÄNZIGER, a.a.O., N. 623).</w:t>
      </w:r>
    </w:p>
    <w:p>
      <w:r>
        <w:t>1.2 Die eingangs erwähnten Behörden sind nach ihren kantonalen Zuständig- keitsordnungen berechtigt, bei interkantonalen Gerichtsstandskonflikten ih- re Kantone vor der I. Beschwerdekammer des Bundesstrafgerichts zu ver- treten (§ 6 lit. m der Verordnung über die Organisation der Oberstaatsan- waltschaft und der Staatsanwaltschaften des Kantons Zürich vom 27. Ok- tober 2004 [LS 213.21]) bzw. § 2 Abs. 3 der Strafprozessordnung des Kan- tons Basel-Stadt vom 8. Januar 1997 [SG 257.100]). Der Gesuchsteller hat mit dem Gesuchsgegner vor Einreichung des Gesuchs einen Meinungs- austausch durchgeführt. Die formellen Eintretensvoraussetzungen sind damit erfüllt (vgl. aber nachfolgend E. 2 und 3).</w:t>
      </w:r>
    </w:p>
    <w:p>
      <w:r>
        <w:t>2. Der Gesuchsteller führt aus, für den dem Beschuldigten vorgeworfenen Be- trug lasse sich weder ein strafrechtlich relevanter Handlungsort, noch ein Erfolgsort eruieren. Den einzigen Anknüpfungspunkt in der Schweiz bilde der Wohnsitz des Beschuldigten, und dieser liege in Z. Die Zuständigkeit des Gesuchsgegners sei deshalb gemäss Art. 342 Abs. 2 StGB gegeben (act. 1, S. 5).</w:t>
      </w:r>
    </w:p>
    <w:p>
      <w:r>
        <w:t>Der Gesuchsgegner führt dagegen aus, der Gesuchsteller habe längst nicht alles unternommen, um den Handlungs- bzw. Erfolgsort für die zur Frage stehenden Betrugsdelikte abzuklären. Die reine Vermutung des Ge- suchstellers, der Beschuldigte habe in Z. gehandelt, weil er dort seinen Wohnsitz habe, reiche bei weitem nicht aus, die Zuständigkeit des Kantons Basel-Stadt zu begründen (act. 3, S. 2). Im Übrigen sei Art. 342 StGB auf die hier nicht vorliegende Situation anwendbar, wo der Beschuldigte aus ir- gendwelchen Gründen nicht an den Staat ausgeliefert werde, wo die Straf- tat begangen wurde. Der Gesuchsteller habe das Verfahren deshalb zu- mindest so lange weiterzuführen, als ein Handlungs- oder Erfolgsort im Kanton Basel nicht manifest sei (act. 3, S. 3).</w:t>
      </w:r>
    </w:p>
    <w:p>
      <w:r>
        <w:t>3.</w:t>
      </w:r>
    </w:p>
    <w:p>
      <w:r>
        <w:t>3.1 Aus dem oben geschilderten Sachverhalt ergibt sich mit grosser Klarheit, dass A. eine öffentliche Urkunde mit teilweise unzutreffendem Inhalt hat ausstellen lassen, und dass er zweimal einen unzutreffenden Handelsregis- tereintrag erwirkt hat. Ausserdem ergibt sich aus den Akten der Verdacht, dass er versucht hat, sich in betrügerischer Inanspruchnahme von gebüh- renpflichtigen Telefonnummern einen Vermögensvorteil zu verschaffen. Die</w:t>
      </w:r>
    </w:p>
    <w:p>
      <w:r>
        <w:t>- 5 -</w:t>
      </w:r>
    </w:p>
    <w:p>
      <w:r>
        <w:t>Parteien sind sich aus Gründen, die der I. Beschwerdekammer nicht be- kannt sind, offenbar darin einig, dass vorliegend nur das Betrugsdelikt zur Frage steht, nicht aber die Urkunden- bzw. Registerdelikte. In der Folge wird deshalb lediglich zum Gerichtsstand bezüglich des Betrugsdeliktes Stellung genommen.</w:t>
      </w:r>
    </w:p>
    <w:p>
      <w:r>
        <w:t>3.2 Offenbar herrscht bei den Parteien teilweise Einigkeit darüber, dass der Wohnsitz des Beschuldigten in Z. vorliegend als Anknüpfungspunkt in Fra- ge kommt, weil ein Handlungs- oder Erfolgsort in der Schweiz nicht zu eru- ieren ist. Es wird allerdings von keiner Seite dargestellt, inwiefern die zahl- reichen Bedingungen von Art. 7 StGB, speziell bei ausländischer Täter- schaft wie vorliegend, gegeben sein sollen. Will man jedoch ohne Prüfung dieser Voraussetzungen den Wohnsitz in den Vordergrund stellen, so ist zu beachten, dass der Sachverhalt, soweit er bekannt ist, auf eine sehr grosse Flexibilität des Täters hinweist, insbesondere in geografischer Hinsicht: bei schweizerischem Wohnsitz werden per SMS Personen in Deutschland an- gegangen, es wird mit einem Mobiltelefon gehandelt, das in Deutschland erworben wurde, es wird in Deutschland ein Bankkonto eröffnet, es wird ei- ne Gesellschaft in Z. gegründet, es wird ein Handelsregistereintrag im Kan- ton Zürich erwirkt, es wird unbekannten Orts eine Verbindung mit einer ge- bührenpflichtigen Telefonnummer hergestellt. Diese Flexibilität, verbunden mit der in den Akten festzustellenden Leichtigkeit des Täters, Orte und Namen zu missbrauchen, lassen auch den von den Parteien offenbar als feststehend zu betrachtenden Wohnsitz in Z. als unsicher erscheinen: ge- nauso wie der Beschuldigte keine Mühe hat, für die GmbH eine falsche Ad- resse registrieren zu lassen, wird es für ihn ein Leichtes sein, einen fiktiven Wohnsitz zu deklarieren. Die Vermutung, dass der formelle Wohnsitz auch dem effektiven Wohnsitz entspricht, ist deshalb vorliegend überhaupt nicht zwingend.</w:t>
      </w:r>
    </w:p>
    <w:p>
      <w:r>
        <w:t>3.3 Es ist damit angebracht, vor der gerichtlichen Festsetzung des Gerichts- standes den Wohnsitz des Beschuldigten zuverlässig zu bestimmen. Dies ist vom heute noch verfahrensführenden Gesuchsteller zu leisten, hat er doch das Verfahren aus Deutschland übernommen. Ausserdem besteht für das Registerdelikt, welches die Strafverfolger bis anhin offenbar der Straf- verfolgung als unwürdig erachteten, ein gesicherter Gerichtsstand in Zü- rich.</w:t>
      </w:r>
    </w:p>
    <w:p>
      <w:r>
        <w:t>3.4 Auf das Gesuch wird deshalb zur Zeit nicht eingetreten.</w:t>
      </w:r>
    </w:p>
    <w:p>
      <w:r>
        <w:t>4. 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