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BG.2009.9 vom 1. April 2009</w:t>
      </w:r>
    </w:p>
    <w:p>
      <w:r>
        <w:t>Bundesstrafgericht, 2009-04-01, DE</w:t>
      </w:r>
    </w:p>
    <w:p>
      <w:r>
        <w:rPr>
          <w:b/>
        </w:rPr>
        <w:t xml:space="preserve">Quelle: </w:t>
      </w:r>
      <w:r>
        <w:t>https://mcp.opencaselaw.ch/entscheid/bstger_BG.2009.9</w:t>
      </w:r>
    </w:p>
    <w:p>
      <w:r>
        <w:t>FR: TPF BG.2009.9 du 1 avril 2009</w:t>
      </w:r>
    </w:p>
    <w:p>
      <w:r>
        <w:t>IT: TPF BG.2009.9 del 1 aprile 2009</w:t>
      </w:r>
    </w:p>
    <w:p>
      <w:pPr>
        <w:pStyle w:val="Heading2"/>
      </w:pPr>
      <w:r>
        <w:t>Regeste</w:t>
      </w:r>
    </w:p>
    <w:p>
      <w:r>
        <w:t>Örtlicher Gerichtsstand (Art. 279 Abs. 2 BStP)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Gesuch um aufschiebende Wirkung wird als gegenstandslos von der Geschäftskontrolle abgeschrieben.</w:t>
      </w:r>
    </w:p>
    <w:p>
      <w:r>
        <w:rPr>
          <w:b/>
        </w:rPr>
        <w:t>E. 3</w:t>
      </w:r>
    </w:p>
    <w:p>
      <w:r>
        <w:t>Die Gerichtsgebühr von Fr. 500.-- wird dem Beschwerdeführer auferlegt.</w:t>
      </w:r>
    </w:p>
    <w:p>
      <w:r>
        <w:t>Bellinzona, 2. April 2009</w:t>
      </w:r>
    </w:p>
    <w:p>
      <w:r>
        <w:t>Im Namen der I.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Rechtsanwalt Daniel Speck - Staatsanwaltschaft des Kantons Appenzell I. Rh. - Staatsanwaltschaft des Kantons St. Gallen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