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BG.2009.8 vom 27. April 2009</w:t>
      </w:r>
    </w:p>
    <w:p>
      <w:r>
        <w:t>Bundesstrafgericht, 2009-04-27, DE</w:t>
      </w:r>
    </w:p>
    <w:p>
      <w:r>
        <w:rPr>
          <w:b/>
        </w:rPr>
        <w:t xml:space="preserve">Quelle: </w:t>
      </w:r>
      <w:r>
        <w:t>https://mcp.opencaselaw.ch/entscheid/bstger_BG.2009.8</w:t>
      </w:r>
    </w:p>
    <w:p>
      <w:r>
        <w:t>FR: TPF BG.2009.8 du 27 avril 2009</w:t>
      </w:r>
    </w:p>
    <w:p>
      <w:r>
        <w:t>IT: TPF BG.2009.8 del 27 aprile 2009</w:t>
      </w:r>
    </w:p>
    <w:p>
      <w:pPr>
        <w:pStyle w:val="Heading2"/>
      </w:pPr>
      <w:r>
        <w:t>Regeste</w:t>
      </w:r>
    </w:p>
    <w:p>
      <w:r>
        <w:t>Örtlicher Gerichtsstand (Art. 279 Abs. 1 BStP i.V.m. Art. 345 StGB)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Es werden keine Gerichtskosten erhoben (Art. 245 Abs. 1 BStP i.V.m. Art. 66 Abs. 4 BGG).</w:t>
      </w:r>
    </w:p>
    <w:p>
      <w:r>
        <w:t>- 6 -</w:t>
      </w:r>
    </w:p>
    <w:p>
      <w:r>
        <w:t>Demnach erkennt die I. Beschwerdekammer:</w:t>
      </w:r>
    </w:p>
    <w:p>
      <w:r>
        <w:t>1. Die Strafverfolgungsbehörden des Kantons Tessin sind berechtigt und ver- pflichtet, die A. und B. zur Last gelegten strafbaren Handlungen zu verfolgen und zu beurteilen.</w:t>
      </w:r>
    </w:p>
    <w:p>
      <w:r>
        <w:t>2. Es werden keine Gerichtskosten erhoben.</w:t>
      </w:r>
    </w:p>
    <w:p>
      <w:r>
        <w:t>Bellinzona, 28. April 2009</w:t>
      </w:r>
    </w:p>
    <w:p>
      <w:r>
        <w:t>Im Namen der I.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Staatsanwaltschaft des Kantons Luzern - Ministero pubblico - Staatsanwaltschaft des Kantons St. Gallen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