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BG.2009.34 vom 21. Dezember 2009</w:t>
      </w:r>
    </w:p>
    <w:p>
      <w:r>
        <w:t>Bundesstrafgericht, 2009-12-21, DE</w:t>
      </w:r>
    </w:p>
    <w:p>
      <w:r>
        <w:rPr>
          <w:b/>
        </w:rPr>
        <w:t xml:space="preserve">Quelle: </w:t>
      </w:r>
      <w:r>
        <w:t>https://mcp.opencaselaw.ch/entscheid/bstger_BG.2009.34</w:t>
      </w:r>
    </w:p>
    <w:p>
      <w:r>
        <w:t>FR: TPF BG.2009.34 du 21 décembre 2009</w:t>
      </w:r>
    </w:p>
    <w:p>
      <w:r>
        <w:t>IT: TPF BG.2009.34 del 21 dicembre 2009</w:t>
      </w:r>
    </w:p>
    <w:p>
      <w:pPr>
        <w:pStyle w:val="Heading2"/>
      </w:pPr>
      <w:r>
        <w:t>Regeste</w:t>
      </w:r>
    </w:p>
    <w:p>
      <w:r>
        <w:t>Örtliche Zuständigkeit (Art. 279 Abs. 1 BStP i.V.m. Art. 345 StGB).</w:t>
      </w:r>
    </w:p>
    <w:p>
      <w:pPr>
        <w:pStyle w:val="Heading2"/>
      </w:pPr>
      <w:r>
        <w:t>Erwägungen</w:t>
      </w:r>
    </w:p>
    <w:p>
      <w:r>
        <w:rPr>
          <w:b/>
        </w:rPr>
        <w:t>E. 12</w:t>
      </w:r>
    </w:p>
    <w:p>
      <w:r>
        <w:t>November 2009 an die Generalprokuratur des Kantons Bern und er- suchte diese um Prüfung des Gerichtsstandes. Die Generalprokuratur des Kantons Bern retournierte am 23. November 2009 die Akten an die Staats- anwaltschaft des Kantons Aargau zwecks Aufnahme von Gerichtsstands- verhandlungen mit dem Kanton Solothurn.</w:t>
      </w:r>
    </w:p>
    <w:p>
      <w:r>
        <w:t>C. Mit Gesuch vom 8. Dezember 2009 gelangte die Staatsanwaltschaft des Kantons Aargau an die I. Beschwerdekammer des Bundesstrafgerichts und beantragte, es seien die Behörden des Kantons Bern, eventualiter die Be- hörden des Kantons Solothurn zur gesamthaften Verfolgung und Beurtei- lung des Beschuldigten A. berechtigt und verpflichtet zu erklären (act. 1).</w:t>
      </w:r>
    </w:p>
    <w:p>
      <w:r>
        <w:t>Die Generalprokuratur des Kantons Bern beantragte in ihrer Gesuchsant- wort vom 10. Dezember 2009, es seien die Behörden des Kantons Solo- thurn für berechtigt und verpflichtet zu erklären, A. zu verfolgen und zu be- urteilen (act. 3).</w:t>
      </w:r>
    </w:p>
    <w:p>
      <w:r>
        <w:t>- 3 -</w:t>
      </w:r>
    </w:p>
    <w:p>
      <w:r>
        <w:t>Der Staatsanwaltschaft des Kantons Solothurn wurde auf Gesuch hin die Frist zur Einreichung einer Gesuchsantwort bis 17. Dezember 2009 er- streckt (act. 4). Sie liess sich in der Folge jedoch nicht mehr vernehmen.</w:t>
      </w:r>
    </w:p>
    <w:p>
      <w:r>
        <w:t>Auf die Ausführungen der Parteien und die eingereichten Akten wird, so- weit erforderlich, in den folgenden rechtlichen Erwägungen Bezug genom- 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in: Jusletter 21. Mai 2007, [Rz 12] in fine). Eine Frist für die Anrufung der I. Beschwerdekammer besteht für die Kantone grundsätzlich nicht (vgl. aber GUIDON/BÄNZIGER, a.a.O., [Rz 15] m.w.H. so- wie beispielsweise den Entscheid des Bundesstrafgerichts BG.2009.19 vom 21. September 2009, E. 1.2 und 1.4).</w:t>
      </w:r>
    </w:p>
    <w:p>
      <w:r>
        <w:t>1.2 Die Staatsanwaltschaft des Kantons Aargau ist berechtigt, den Gesuchstel- ler bei interkantonalen Gerichtsstandskonflikten vor der I. Beschwerde- kammer zu vertreten (§ 33 Abs. 2 des Gesetzes über die Strafrechtspflege des Kantons Aargau vom 11. November 1958 [Strafprozessordnung, StPO/AG; SAR 251.100]). Bezüglich der beiden Gesuchsgegner steht die- se Befugnis der Generalprokuratur des Kantons Bern bzw. der Staatsan- waltschaft des Kantons Solothurn zu (Art. 9 des Gesetzes über das Straf- verfahren des Kantons Bern vom 15. März 1995 [StrV/BE; BSG 321.1] bzw. § 73 Abs. 1 des Gesetzes über die Gerichtsorganisation des Kantons Solo- thurn vom 13. März 1977 [BGS 125.12]). Der Gesuchsteller hat mit den</w:t>
      </w:r>
    </w:p>
    <w:p>
      <w:r>
        <w:t>- 4 -</w:t>
      </w:r>
    </w:p>
    <w:p>
      <w:r>
        <w:t>beiden Gesuchsgegnern vor Einreichung des Gesuchs einen Meinungs- austausch durchgeführt. Auch die übrigen Eintretensvoraussetzungen ge- ben vorliegend zu keinen weiteren Bemerkungen Anlass, so dass auf das Gesuch einzutreten ist.</w:t>
      </w:r>
    </w:p>
    <w:p>
      <w:r>
        <w:t>2.</w:t>
      </w:r>
    </w:p>
    <w:p>
      <w:r>
        <w:t>2.1 Wird jemand wegen mehrerer, an verschiedenen Orten begangener straf- barer Handlungen verfolgt, so sind die Behörden des Ortes, wo die mit der schwersten Strafe bedrohte Tat begangen worden ist, auch für die Verfol- gung und die Beurteilung der anderen Taten zuständig. Sind diese strafba- ren Handlungen mit der gleichen Strafe bedroht, so sind die Behörden des Ortes zuständig, wo die Untersuchung zuerst angehoben wird (Art. 344 Abs. 1 StGB). Sind an der Tat mehrere als Mittäter beteiligt, so sind die Behörden des Ortes zuständig, wo die Untersuchung zuerst angehoben wurde (Art. 343 Abs. 2 StGB).</w:t>
      </w:r>
    </w:p>
    <w:p>
      <w:r>
        <w:t>Begehen mehrere Beschuldigte zusammen in verschiedenen Kantonen mehrere Delikte, so sind die Art. 343 und 344 Abs. 1 Satz 2 StGB so mit- einander zu kombinieren, dass in der Regel alle Mitwirkenden an dem Orte verfolgt werden, wo von einem Mittäter die mit der schwersten Strafe be- drohte Tat verübt worden ist (SCHWERI/BÄNZIGER, a.a.O., N. 309 m.w.H.). Der Grundgedanke von Art. 343 Abs. 2 StGB, wonach Mittäter nicht an ver- schiedenen Orten verfolgt und beurteilt werden sollen, gilt auch dort, wo ein Mittäter ausser der in Mittäterschaft begangenen strafbaren Handlungen an anderen Orten weitere Delikte verübt hat (BGE 109 IV 56 E. 1, 95 IV 37 E. 2; SCHWERI/BÄNZIGER, a.a.O., N. 246).</w:t>
      </w:r>
    </w:p>
    <w:p>
      <w:r>
        <w:t>2.2 In Anwendung dieser Bestimmungen und der hierzu ergangenen Recht- sprechung ist vorliegend für die Bestimmung des Gerichtsstandes auf die von B. mutmasslich begangenen qualifizierten Widerhandlungen gegen das Betäubungsmittelgesetz abzustellen (vgl. Gerichtsstandsakten des Kantons Bern, act. 3, wonach sich innert kürzester Zeit der Verdacht erhärtet habe, dass B. in sehr grossem Stil mit Betäubungsmitteln handle). Die hierfür in Art. 19 Ziff. 1 Satz 2 BetmG vorgesehene Strafdrohung ist schwerer als die- jenige von Art. 139 Ziff. 3 StGB für den bandenmässig begangenen Dieb- stahl. Der gesetzliche Gerichtsstand für die von A. in Mittäterschaft mit B. begangenen Einbruchdiebstähle liegt vorliegend – entgegen den Vorbrin- gen der Parteien im Gesuchsverfahren – im Kanton Bern. Dass die Straf- verfolgungsbehörden des Kantons Bern offenbar aus verfahrenstaktischen Gründen die gegen B. geführte Untersuchung von derjenigen gegen A. ab- trennen wollen, führt nicht dazu, dass der Gerichtsstand bezüglich der von</w:t>
      </w:r>
    </w:p>
    <w:p>
      <w:r>
        <w:t>- 5 -</w:t>
      </w:r>
    </w:p>
    <w:p>
      <w:r>
        <w:t>A. verübten Einbruchdiebstähle nun isoliert und unter Ausblendung der Mit- täterschaft mit B. zu bestimmen ist. Für ein Abweichen vom so festgelegten gesetzlichen Gerichtsstand besteht vorliegend kein Grund.</w:t>
      </w:r>
    </w:p>
    <w:p>
      <w:r>
        <w:t>3. Das Gesuch ist nach dem Gesagten gutzuheissen und es sind die Strafver- folgungsbehörden des Kantons Bern für berechtigt und verpflichtet zu er- klären, die A. zur Last gelegten Straftaten zu verfolgen und zu beurteilen.</w:t>
      </w:r>
    </w:p>
    <w:p>
      <w:r>
        <w:t>4. Es werden keine Gerichtskosten erhoben (Art. 245 Abs. 1 BStP i.V.m. Art. 66 Abs. 4 BGG).</w:t>
      </w:r>
    </w:p>
    <w:p>
      <w:r>
        <w:t>- 6 -</w:t>
      </w:r>
    </w:p>
    <w:p>
      <w:r>
        <w:t>Demnach erkennt die I. Beschwerdekammer:</w:t>
      </w:r>
    </w:p>
    <w:p>
      <w:r>
        <w:t>1. Die Strafverfolgungsbehörden des Kantons Bern sind berechtigt und ver- pflichtet, die A. zur Last gelegten Straftaten zu verfolgen und zu beurteilen.</w:t>
      </w:r>
    </w:p>
    <w:p>
      <w:r>
        <w:t>2. Es werden keine Gerichtskosten erhoben.</w:t>
      </w:r>
    </w:p>
    <w:p>
      <w:r>
        <w:t>Bellinzona, 21. Dezember 2009</w:t>
      </w:r>
    </w:p>
    <w:p>
      <w:r>
        <w:t>Im Namen der I. Beschwerdekammer des Bundesstrafgerichts</w:t>
      </w:r>
    </w:p>
    <w:p>
      <w:r>
        <w:t>Der Präsident:</w:t>
      </w:r>
    </w:p>
    <w:p>
      <w:r>
        <w:t>Der Gerichtsschreiber:</w:t>
      </w:r>
    </w:p>
    <w:p>
      <w:r>
        <w:t>Zustellung an</w:t>
      </w:r>
    </w:p>
    <w:p>
      <w:r>
        <w:t>- Staatsanwaltschaft des Kantons Aargau - Generalprokuratur des Kantons Bern - Staatsanwaltschaft des Kantons Solothurn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