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BG.2009.32 vom 23. November 2009</w:t>
      </w:r>
    </w:p>
    <w:p>
      <w:r>
        <w:t>Bundesstrafgericht, 2009-11-23, DE</w:t>
      </w:r>
    </w:p>
    <w:p>
      <w:r>
        <w:rPr>
          <w:b/>
        </w:rPr>
        <w:t xml:space="preserve">Quelle: </w:t>
      </w:r>
      <w:r>
        <w:t>https://mcp.opencaselaw.ch/entscheid/bstger_BG.2009.32</w:t>
      </w:r>
    </w:p>
    <w:p>
      <w:r>
        <w:t>FR: TPF BG.2009.32 du 23 novembre 2009</w:t>
      </w:r>
    </w:p>
    <w:p>
      <w:r>
        <w:t>IT: TPF BG.2009.32 del 23 novembre 2009</w:t>
      </w:r>
    </w:p>
    <w:p>
      <w:pPr>
        <w:pStyle w:val="Heading2"/>
      </w:pPr>
      <w:r>
        <w:t>Regeste</w:t>
      </w:r>
    </w:p>
    <w:p>
      <w:r>
        <w:t>Örtlicher Gerichtsstand (Art. 279 Abs. 1 BStP i.V.m. Art. 345 StGB).</w:t>
      </w:r>
    </w:p>
    <w:p>
      <w:pPr>
        <w:pStyle w:val="Heading2"/>
      </w:pPr>
      <w:r>
        <w:t>Erwägungen</w:t>
      </w:r>
    </w:p>
    <w:p>
      <w:r>
        <w:rPr>
          <w:b/>
        </w:rPr>
        <w:t>E. 24</w:t>
      </w:r>
    </w:p>
    <w:p>
      <w:r>
        <w:t>September 2009 einstweilen ab und verlangte, dass auch die Strafver- folgungsbehörden des Kantons Genf in den Meinungsaustausch miteinbe- zogen würden (act. 4.2). Der daraufhin angegangene Procureur général</w:t>
      </w:r>
    </w:p>
    <w:p>
      <w:r>
        <w:t>- 3 -</w:t>
      </w:r>
    </w:p>
    <w:p>
      <w:r>
        <w:t>des Kantons Genf (nachfolgend „Procureur général“) verneinte die Zustän- digkeit der Strafverfolgungsbehörden des Kantons Genf mit Schreiben vom 6. Oktober 2009 (act. 3.1) und vom 27. Oktober 2009 (act. 3.2). Die Ober- staatsanwaltschaft lehnte schliesslich am 2. November 2009 die Zustän- digkeit der Strafverfolgungsbehörden des Kantons Zürich endgültig ab (act. 4.5).</w:t>
      </w:r>
    </w:p>
    <w:p>
      <w:r>
        <w:t>C. Mit Gesuch vom 6. November 2009 gelangte der Präsident der Strafkam- mer an die I. Beschwerdekammer des Bundesstrafgerichts und beantragte, primär den Kanton Zürich und subsidiär den Kanton Genf als berechtigt und verpflichtet zu bezeichnen, die C. vorgeworfenen Widerhandlungen gegen das Betäubungsmittelgesetz zu verfolgen und zu beurteilen (act. 1).</w:t>
      </w:r>
    </w:p>
    <w:p>
      <w:r>
        <w:t>Der Procureur général schloss in seiner Gesuchsantwort vom 13. Novem- ber 2009 auf die Zuständigkeit der Strafverfolgungsbehörden des Kantons Zürich zur Verfolgung und Beurteilung der C. zur Last gelegten Straftaten (act. 3).</w:t>
      </w:r>
    </w:p>
    <w:p>
      <w:r>
        <w:t>Die Oberstaatsanwaltschaft des Kantons Zürich beantragte in ihrer Ge- suchsantwort vom 16. November 2009, es seien die Behörden des Kantons Genf, eventualiter die Behörden des Kantons Freiburg, für berechtigt und verpflichtet zu erklären, die C. zur Last gelegten Straftaten zu verfolgen und zu beurteilen (act. 4).</w:t>
      </w:r>
    </w:p>
    <w:p>
      <w:r>
        <w:t>Die Gesuchsantworten wurden den Parteien am 17. November 2009 wech- selseitig zur Kenntnis gebracht (act. 5, 6 und 7).</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w:t>
      </w:r>
    </w:p>
    <w:p>
      <w:r>
        <w:t>- 4 -</w:t>
      </w:r>
    </w:p>
    <w:p>
      <w:r>
        <w:t>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Der Präsident der Strafkammer des freiburgischen Kantonsgerichts ist be- rechtigt, den Gesuchsteller bei interkantonalen Gerichtsstandskonflikten vor der I. Beschwerdekammer zu vertreten (Art. 26 Abs. 2 der Strafprozess- ordnung des Kantons Freiburg vom 14. November 1996 [StPO/FR; SGF 32.1]). Bezüglich der Gesuchsgegner steht diese Befugnis der Ober- staatsanwaltschaft des Kantons Zürich bzw. dem Procureur général des Kantons Genf zu (§ 6 lit. m der Verordnung über die Organisation der Oberstaatsanwaltschaft und der Staatsanwaltschaften des Kantons Zürich vom 27. Oktober 2004 [LS 213.21] bzw. Art. 4 Abs. 2 des Code de procé- dure pénale genevois du 29 septembre 1977 [CPP/GE; RSG E 4 20]). Der Gesuchsteller hat mit den Gesuchsgegnern vor Einreichung des Gesuchs einen Meinungsaustausch durchgeführt. Auch die übrigen Eintretensvor- aussetzungen geben vorliegend zu keinen weiteren Bemerkungen Anlass, so dass auf das Gesuch einzutreten ist.</w:t>
      </w:r>
    </w:p>
    <w:p>
      <w:r>
        <w:t>2.</w:t>
      </w:r>
    </w:p>
    <w:p>
      <w:r>
        <w:t>2.1 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 Hat ein Täter in verschiedenen Kantonen die mit der schwersten Strafe bedrohten Taten begangen, ohne dass in einem dieser Kantone eine Untersuchung angehoben wurde, so ist der Kanton zustän- dig, in dem das offensichtliche Schwergewicht liegt. Führt auch diese Über- legung nicht zum Ziel, so ist in Analogie zu Art. 344 Abs. 1 Satz 2 StGB der Kanton zuständig, in welchem der Beschuldigte das erste gerichtsstandsre- levante Delikt begangen hat oder wo er seinen Wohnsitz oder gewöhnli-</w:t>
      </w:r>
    </w:p>
    <w:p>
      <w:r>
        <w:t>- 5 -</w:t>
      </w:r>
    </w:p>
    <w:p>
      <w:r>
        <w:t>chen Aufenthalt hat (GUIDON/BÄNZIGER, a.a.O., [Rz 38] in fine m.w.H.). De- liktische Handlungen aber, deren Verfolgung von kantonalen Behörden zu Unrecht oder gar deshalb abgelehnt wird, um nicht interkantonal die Verfol- gung des ganzen Komplexes von Verfehlungen übernehmen zu müssen, sind bei der Ermittlung des Gerichtsstandes nach Art. 344 Abs. 1 StGB mit- zuberücksichtigen (SCHWERI/BÄNZIGER, a.a.O., N. 284; Entscheid des Bun- desstrafgerichts BG.2005.17 vom 4. Juli 2005, E. 3.2).</w:t>
      </w:r>
    </w:p>
    <w:p>
      <w:r>
        <w:t>2.2 Nachdem gegen C. weder von den Strafverfolgungsbehörden des Ge- suchsgegners 1 noch von denjenigen des Gesuchsgegners 2 eine Unter- suchung angehoben worden ist, würden die oben erwähnten allgemeinen Überlegungen vorliegend zur Begründung der Zuständigkeit der Behörden des Kantons Zürich führen, hat C. doch das erste gerichtsstandsrelevante Delikt angeblich im Kanton Zürich begangen. Der Gesuchsgegner 1 wendet hiergegen jedoch ein, dass die Behörden des Gesuchsgegners 2 anhand der Aktenlage gegen C. bereits ein Verfahren hätten eröffnen müssen, be- vor sich auch Anhaltspunkte hinsichtlich einer deliktischen Tätigkeit von C. im Gebiet des Kantons Zürich ergeben hätten.</w:t>
      </w:r>
    </w:p>
    <w:p>
      <w:r>
        <w:t>Den Akten ist diesbezüglich zu entnehmen, dass B. gegenüber den Genfer Strafverfolgungsbehörden am 23. Juli 2008 deponiert hat, dass er vom Ma- zedonier (gemeint ist C.) zwischen 150 und 250 Gramm Heroingemisch er- halten habe, als er sich in Genf aufgehalten habe (Dossier JFS F 08 11140, pag. 2099). Selbst wenn sich anhand dieser Aussage alleine hinsichtlich des Übergabeortes keine genauen Informationen ableiten können, so steht fest, dass einer der anderen Abnehmer bereits am 15. Mai 2008 ausgesagt hat, vom Mazedonier in Genf ca. 375 Gramm Heroingemisch erhalten zu haben (Dossier JFS F 08 11140, pag. 2075). Es ist diesbezüglich tatsäch- lich nicht ersichtlich, weshalb es die Strafverfolgungsbehörden des Kantons Genf unterlassen haben, auch bezüglich des erwähnten Verkaufs einer er- heblichen Menge an Betäubungsmitteln in Genf (allenfalls gegen den na- mentlich noch nicht bekannten Mazedonier) eine Untersuchung einzuleiten, zumal den Genfer Strafverfolgungsbehörden am 23. Juli 2008 anhand von Erkenntnissen aus Überwachungen von Telefongesprächen zwischen B. und dem Mazedonier offenbar auch bereits bekannt war, dass es sich bei Letzterem um den Lieferanten von E. und A. handelte (vgl. Dossier JFS F 08 11140, pag. 2099). Diesbezüglich ergeben sich auch aus dem Schrei- ben des Procureur général an die Oberstaatsanwaltschaft vom 27. Oktober 2009 in Beantwortung einer diesbezüglichen Anfrage keine plausiblen Gründe (act. 3.2). Der Verkauf einer qualifizierten Menge an Betäubungs- mitteln stellt ein Offizialdelikt dar, zu dessen Verfolgung die Strafverfol- gungsbehörden von Amtes wegen verpflichtet sind (SCHMID, Handbuch des</w:t>
      </w:r>
    </w:p>
    <w:p>
      <w:r>
        <w:t>- 6 -</w:t>
      </w:r>
    </w:p>
    <w:p>
      <w:r>
        <w:t>schweizerischen Strafprozessrechts, Zürich/St. Gallen 2009, N. 165 f.). Dass die Genfer Behörden dieser Pflicht nicht nachgekommen sind, ohne hierfür plausible Gründe anzubringen, ist bei der Bestimmung des Ge- richtsstandes im vorliegenden Fall mitzuberücksichtigen.</w:t>
      </w:r>
    </w:p>
    <w:p>
      <w:r>
        <w:t>2.3 Nach dem Gesagten ist der vom Gesuchsteller gestellte Eventualantrag gutzuheissen und es sind die Strafverfolgungsbehörden des Kantons Genf berechtigt und verpflichtet, die C. zur Last gelegten Straftaten zu verfolgen und zu beurteilen.</w:t>
      </w:r>
    </w:p>
    <w:p>
      <w:r>
        <w:t>3. 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