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BG.2009.3 vom 1. April 2009</w:t>
      </w:r>
    </w:p>
    <w:p>
      <w:r>
        <w:t>Bundesstrafgericht, 2009-04-01, DE</w:t>
      </w:r>
    </w:p>
    <w:p>
      <w:r>
        <w:rPr>
          <w:b/>
        </w:rPr>
        <w:t xml:space="preserve">Quelle: </w:t>
      </w:r>
      <w:r>
        <w:t>https://mcp.opencaselaw.ch/entscheid/bstger_BG.2009.3</w:t>
      </w:r>
    </w:p>
    <w:p>
      <w:r>
        <w:t>FR: TPF BG.2009.3 du 1 avril 2009</w:t>
      </w:r>
    </w:p>
    <w:p>
      <w:r>
        <w:t>IT: TPF BG.2009.3 del 1 aprile 2009</w:t>
      </w:r>
    </w:p>
    <w:p>
      <w:pPr>
        <w:pStyle w:val="Heading2"/>
      </w:pPr>
      <w:r>
        <w:t>Regeste</w:t>
      </w:r>
    </w:p>
    <w:p>
      <w:r>
        <w:t>Örtlicher Gerichtsstand (Art. 279 Abs. 1 BStP i.V.m. Art. 345 StGB)</w:t>
      </w:r>
    </w:p>
    <w:p>
      <w:pPr>
        <w:pStyle w:val="Heading2"/>
      </w:pPr>
      <w:r>
        <w:t>Erwägungen</w:t>
      </w:r>
    </w:p>
    <w:p>
      <w:r>
        <w:rPr>
          <w:b/>
        </w:rPr>
        <w:t>E. 36</w:t>
      </w:r>
    </w:p>
    <w:p>
      <w:r>
        <w:t>Einbruchdiebstähle bzw. Einbruchdiebstahlsversuche begangen zu ha- ben.</w:t>
      </w:r>
    </w:p>
    <w:p>
      <w:r>
        <w:t>Mit Urteil vom 29. Mai 2008 verurteilte der Kanton Genf bzw. das Tribunal de police Genève A. wegen 41 Einbruchdiebstählen bzw. Versuchen dazu, welche er zwischen dem 22. August 2006 und dem 16. Januar 2008 be- gangen hatte. Nachträglich konnte A. aufgrund von Fingerabdrücken der Begehung eines versuchten und drei vollendeter Einbruchdiebstähle über- führt werden. Drei dieser Delikte sind bereits verjährt, sodass im Kanton Genf einzig der Einbruchdiebstahl zwischen dem 14. und 15. Juni 2007 noch gerichtsstandsrelevant ist.</w:t>
      </w:r>
    </w:p>
    <w:p>
      <w:r>
        <w:t>Abklärungen bei der Kantonspolizei Aargau ergaben, dass A. im Kanton Aargau aufgrund einer DNA-Spur und weiteren Tatzusammenhängen 22 Einbruchdiebstähle bzw. Einbruchdiebstahlsversuche vorgeworfen wer- den, begangen in der Zeitspanne vom 26. August bis am 7. September 2008.</w:t>
      </w:r>
    </w:p>
    <w:p>
      <w:r>
        <w:t>Letztlich besteht gegen A. im Kanton Freiburg der Vorwurf des Fahrrad- diebstahls, da die Abklärungen zum Fahrrad, welches bei der Anhaltung von A. sichergestellt worden war, ergaben, dass dieses zwischen dem 26. und dem 29. April 2008 in Y. / FR gestohlen worden war.</w:t>
      </w:r>
    </w:p>
    <w:p>
      <w:r>
        <w:t>B. Zwischen dem 11. Dezember 2008 und dem 23. Januar 2009 erfolgten zwi- schen den Kantonen Basel-Landschaft, Bern und Genf gegenseitige Ge- richtsstandsanfragen, wobei alle Kantone jeweils ihre Zuständigkeit ver- neinten (act. 6.1; Akten Kt. Bern, Beilagen 2, 4, 5).</w:t>
      </w:r>
    </w:p>
    <w:p>
      <w:r>
        <w:t>- 3 -</w:t>
      </w:r>
    </w:p>
    <w:p>
      <w:r>
        <w:t>C. Mit Gesuch vom 5. Februar 2009 gelangte der Kanton Basel-Landschaft bzw. das Bezirksstatthalteramt Arlesheim an die I. Beschwerdekammer des Bundesstrafgerichts mit folgenden Anträgen (act.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