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BG.2009.2 vom 17. März 2009</w:t>
      </w:r>
    </w:p>
    <w:p>
      <w:r>
        <w:t>Bundesstrafgericht, 2009-03-17, FR</w:t>
      </w:r>
    </w:p>
    <w:p>
      <w:r>
        <w:rPr>
          <w:b/>
        </w:rPr>
        <w:t xml:space="preserve">Quelle: </w:t>
      </w:r>
      <w:r>
        <w:t>https://mcp.opencaselaw.ch/entscheid/bstger_BG.2009.2</w:t>
      </w:r>
    </w:p>
    <w:p>
      <w:r>
        <w:t>FR: TPF BG.2009.2 du 17 mars 2009</w:t>
      </w:r>
    </w:p>
    <w:p>
      <w:r>
        <w:t>IT: TPF BG.2009.2 del 17 marzo 2009</w:t>
      </w:r>
    </w:p>
    <w:p>
      <w:pPr>
        <w:pStyle w:val="Heading2"/>
      </w:pPr>
      <w:r>
        <w:t>Regeste</w:t>
      </w:r>
    </w:p>
    <w:p>
      <w:r>
        <w:t>Compétence à raison du lieu (art. 279 al. 2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CANTON DE NEUCHATEL, Ministère Public,</w:t>
      </w:r>
    </w:p>
    <w:p>
      <w:r>
        <w:rPr>
          <w:b/>
        </w:rPr>
        <w:t>E. 2</w:t>
      </w:r>
    </w:p>
    <w:p>
      <w:r>
        <w:t>Un émolument de Fr. 600.-- est mis à la charge du recourant.</w:t>
      </w:r>
    </w:p>
    <w:p>
      <w:r>
        <w:t>Bellinzone, le 17 mars 2009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Jean Lob, avocat - Ministère Public du canton de Neuchâtel - Generalprokuratur des Kantons Bern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