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BG.2008.20 vom 22. Oktober 2008</w:t>
      </w:r>
    </w:p>
    <w:p>
      <w:r>
        <w:t>Bundesstrafgericht, 2008-10-22, DE</w:t>
      </w:r>
    </w:p>
    <w:p>
      <w:r>
        <w:rPr>
          <w:b/>
        </w:rPr>
        <w:t xml:space="preserve">Quelle: </w:t>
      </w:r>
      <w:r>
        <w:t>https://mcp.opencaselaw.ch/entscheid/bstger_BG.2008.20</w:t>
      </w:r>
    </w:p>
    <w:p>
      <w:r>
        <w:t>FR: TPF BG.2008.20 du 22 octobre 2008</w:t>
      </w:r>
    </w:p>
    <w:p>
      <w:r>
        <w:t>IT: TPF BG.2008.20 del 22 ottobre 2008</w:t>
      </w:r>
    </w:p>
    <w:p>
      <w:pPr>
        <w:pStyle w:val="Heading2"/>
      </w:pPr>
      <w:r>
        <w:t>Regeste</w:t>
      </w:r>
    </w:p>
    <w:p>
      <w:r>
        <w:t>Örtlicher Gerichtsstand (Art. 279 Abs. 2 BStP)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Gemäss Art. 279 Abs. 2 BStP i.V.m. Art. 28 Abs. 1 lit. g SGG i.V.m. Art. 9 Abs. 2 des Reglements vom 20. Juni 2006 für das Bundesstrafgericht (SR 173.710) kann gegen den Entscheid der kantonalen Strafverfolgungs- behörde über die Gerichtsbarkeit des betreffenden Kantons sowie wegen Säumnis beim Erlass eines solchen Entscheids bei der I. Beschwerde- kammer des Bundesstrafgerichts Beschwerde geführt werden. Die Art. 214 bis 219 BStP sind auf das Beschwerdeverfahren bei Bestreitung der Zu- ständigkeit sinngemäss anwendbar. Entsprechend ist die Beschwerde in- nert fünf Tagen, nachdem der Beschwerdeführer vom Entscheid Kenntnis erhalten hat, einzureichen (Art. 217 BStP; vgl. hierzu TPF 2005 139 E. 1.2 S. 141; TPF BG.2005.16 vom 12. Juli 2005 E. 2; eingehend zur Beschwer- defrist auch GUIDON/BÄNZIGER, Die aktuelle Rechtsprechung des Bundes- strafgerichts zum interkantonalen Gerichtsstand in Strafsachen, in: Juslet- ter 21. Mai 2007, [Rz 16], m.w.H.).</w:t>
      </w:r>
    </w:p>
    <w:p>
      <w:r>
        <w:rPr>
          <w:b/>
        </w:rPr>
        <w:t>E. 1.2</w:t>
      </w:r>
    </w:p>
    <w:p>
      <w:r>
        <w:t>Die angefochtene Verfügung des Bezirksgerichts Meilen, in welcher die Zuständigkeit des Kantons Zürich aufgrund einer ersten Prüfung bejaht wurde, wurde am 19. September 2008 erlassen (act. 1.6). Der Beschwer- deführer bescheinigte gemäss dem Empfangsschein, diese Verfügung am 23. September 2008 erhalten zu haben (act. 1.7). Seine Beschwerde betreffend Zuständigkeit (Gerichtsstand) reichte er jedoch erst am 13. Ok- tober 2008 (Poststempel) und somit nicht innerhalb der fünftägigen Frist bei der I. Beschwerdekammer ein. Unabhängig von der zu überprüfenden Tauglichkeit des Beschwerdeobjekts sowie der Legitimation des Be- schwerdeführers ist die Beschwerde deshalb verspätet, was dem Eintreten auf die Beschwerde entgegensteht. Gemäss Art. 219 Abs. 1 BStP erweist sich die vorliegende Beschwerde daher als sofort unzulässig, weshalb von der Einholung der Beschwerdeantworten abgesehen wird. Auf die Be- schwerde ist somit nicht einzutreten.</w:t>
      </w:r>
    </w:p>
    <w:p>
      <w:r>
        <w:rPr>
          <w:b/>
        </w:rPr>
        <w:t>E. 2</w:t>
      </w:r>
    </w:p>
    <w:p>
      <w:r>
        <w:t>Die Gerichtsgebühr von Fr. 300.-- wird dem Beschwerdeführer auferlegt.</w:t>
      </w:r>
    </w:p>
    <w:p>
      <w:r>
        <w:t>Bellinzona, 22. Oktober 2008</w:t>
      </w:r>
    </w:p>
    <w:p>
      <w:r>
        <w:t>Im Namen der I. Beschwerdekammer des Bundesstrafgerichts</w:t>
      </w:r>
    </w:p>
    <w:p>
      <w:r>
        <w:t>Der Präsident:</w:t>
      </w:r>
    </w:p>
    <w:p>
      <w:r>
        <w:t>Die Gerichtsschreiberin:</w:t>
      </w:r>
    </w:p>
    <w:p>
      <w:r>
        <w:t>Zustellung an</w:t>
      </w:r>
    </w:p>
    <w:p>
      <w:r>
        <w:t>- A. - Oberstaatsanwaltschaft des Kantons Zürich - Generalprokuratur des Kantons Bern - Bezirksgericht Meilen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