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BG.2008.12 vom 28. Mai 2008</w:t>
      </w:r>
    </w:p>
    <w:p>
      <w:r>
        <w:t>Bundesstrafgericht, 2008-05-28, FR</w:t>
      </w:r>
    </w:p>
    <w:p>
      <w:r>
        <w:rPr>
          <w:b/>
        </w:rPr>
        <w:t xml:space="preserve">Quelle: </w:t>
      </w:r>
      <w:r>
        <w:t>https://mcp.opencaselaw.ch/entscheid/bstger_BG.2008.12</w:t>
      </w:r>
    </w:p>
    <w:p>
      <w:r>
        <w:t>FR: TPF BG.2008.12 du 28 mai 2008</w:t>
      </w:r>
    </w:p>
    <w:p>
      <w:r>
        <w:t>IT: TPF BG.2008.12 del 28 maggio 2008</w:t>
      </w:r>
    </w:p>
    <w:p>
      <w:pPr>
        <w:pStyle w:val="Heading2"/>
      </w:pPr>
      <w:r>
        <w:t>Regeste</w:t>
      </w:r>
    </w:p>
    <w:p>
      <w:r>
        <w:t>Compétence à raison du lieu (art. 279 al.1 PPF en lien avec l'art. 345 CP)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est rayée du rôle.</w:t>
      </w:r>
    </w:p>
    <w:p>
      <w:r>
        <w:rPr>
          <w:b/>
        </w:rPr>
        <w:t>E. 2</w:t>
      </w:r>
    </w:p>
    <w:p>
      <w:r>
        <w:t>Il est statué sans frais.</w:t>
      </w:r>
    </w:p>
    <w:p>
      <w:r>
        <w:t>Bellinzone, le 28 mai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Canton du Valais, Office du juge d'instruction cantonal - Canton de Soleure, Staatsanwaltschaft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