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BG.2007.7 vom 27. April 2007</w:t>
      </w:r>
    </w:p>
    <w:p>
      <w:r>
        <w:t>Bundesstrafgericht, 2007-04-27, DE</w:t>
      </w:r>
    </w:p>
    <w:p>
      <w:r>
        <w:rPr>
          <w:b/>
        </w:rPr>
        <w:t xml:space="preserve">Quelle: </w:t>
      </w:r>
      <w:r>
        <w:t>https://mcp.opencaselaw.ch/entscheid/bstger_BG.2007.7</w:t>
      </w:r>
    </w:p>
    <w:p>
      <w:r>
        <w:t>FR: TPF BG.2007.7 du 27 avril 2007</w:t>
      </w:r>
    </w:p>
    <w:p>
      <w:r>
        <w:t>IT: TPF BG.2007.7 del 27 aprile 2007</w:t>
      </w:r>
    </w:p>
    <w:p>
      <w:pPr>
        <w:pStyle w:val="Heading2"/>
      </w:pPr>
      <w:r>
        <w:t>Regeste</w:t>
      </w:r>
    </w:p>
    <w:p>
      <w:r>
        <w:t>Bestimmung des Gerichtsstandes i. S. A. (Art. 279 Abs. 1 BStP)</w:t>
      </w:r>
    </w:p>
    <w:p>
      <w:pPr>
        <w:pStyle w:val="Heading2"/>
      </w:pPr>
      <w:r>
        <w:t>Erwägungen</w:t>
      </w:r>
    </w:p>
    <w:p>
      <w:r>
        <w:rPr>
          <w:b/>
        </w:rPr>
        <w:t>E. 1.1</w:t>
      </w:r>
    </w:p>
    <w:p>
      <w:r>
        <w:t>Die Zuständigkeit der Beschwerdekammer des Bundesstrafgerichts zum Entscheid über Gerichtsstandsstreitigkeiten ergibt sich aus Art. 345 StGB i.V.m. Art. 279 Abs. 1 BStP und Art. 28 Abs. 1 lit. g SGG. Voraussetzung für die Anrufung der Beschwerdekammer ist allerdings, dass ein Streit über einen interkantonalen Gerichtsstand vorliegt und dass die Kantone über diesen Streit einen Meinungsaustausch durchgeführt haben (SCHWERI/ BÄNZIGER, Interkantonale Gerichtsstandsbestimmung in Strafsachen,</w:t>
      </w:r>
    </w:p>
    <w:p>
      <w:r>
        <w:rPr>
          <w:b/>
        </w:rPr>
        <w:t>E. 1.2</w:t>
      </w:r>
    </w:p>
    <w:p>
      <w:r>
        <w:t>Der Gesuchsteller und der Gesuchsgegner haben als ernstlich in Betracht kommende Kantone einen abschliessenden und erfolglosen Meinungsaus- tausch betreffend die interkantonale Gerichtsstandsstreitigkeit durchge- führt. Die übrigen Eintretensvoraussetzungen sind erfüllt und geben keinen Anlass zu weiteren Bemerkungen. Auf das Gesuch ist somit einzutreten.</w:t>
      </w:r>
    </w:p>
    <w:p>
      <w:r>
        <w:rPr>
          <w:b/>
        </w:rPr>
        <w:t>E. 2</w:t>
      </w:r>
    </w:p>
    <w:p>
      <w:r>
        <w:t>StGB entscheidend, wo die Untersuchung zuerst angehoben wurde. Die Strafverfolgung wurde im Kanton Luzern mit dem Strafantrag von B. vom 15. Juli 2006 angehoben. Einen weiteren Strafantrag stellte sie im Kanton Luzern am 2. August 2006. Im Kanton Zug wurde die Strafuntersuchung</w:t>
      </w:r>
    </w:p>
    <w:p>
      <w:r>
        <w:t>- 5 -</w:t>
      </w:r>
    </w:p>
    <w:p>
      <w:r>
        <w:t>mit dem Strafantrag von B. vom 6. Oktober 2006 angehoben. Die Untersu- chung wurde somit zuerst im Kanton Luzern angehoben. Dies hat zur Kon- sequenz, dass gestützt auf Art. 344 Abs. 1 Satz 2 StGB der Kanton Luzern zur Verfolgung und Beurteilung der A. zur Last gelegten Straftaten zustän- dig ist. Der Gesuchsgegner hat sich somit zu Recht mit dem Gesuch ein- verstanden erklärt.</w:t>
      </w:r>
    </w:p>
    <w:p>
      <w:r>
        <w:rPr>
          <w:b/>
        </w:rPr>
        <w:t>E. 2.1</w:t>
      </w:r>
    </w:p>
    <w:p>
      <w:r>
        <w:t>Der Gesuchsgegner hat die Zuständigkeit des Kantons Luzern zur Verfol- gung und Beurteilung der A. zur Last gelegten strafbaren Handlungen im Verfahren vor der I. Beschwerdekammer anerkannt. Eine nachträgliche Änderung eines von einem Kanton ausdrücklich anerkannten Gerichtsstan- des ist nur noch aus triftigen Gründen zulässig. Nachfolgend wird somit ausschliesslich geprüft, ob der Gesuchsgegner durch die Anerkennung des Gerichtsstandes allenfalls in willkürlicher Weise vom gesetzlichen Gerichts- stand abgewichen ist.</w:t>
      </w:r>
    </w:p>
    <w:p>
      <w:r>
        <w:rPr>
          <w:b/>
        </w:rPr>
        <w:t>E. 2.2</w:t>
      </w:r>
    </w:p>
    <w:p>
      <w:r>
        <w:t>Wird jemand wegen mehrerer, an verschiedenen Orten verübter strafbarer Handlungen verfolgt, so sind die Behörden des Ortes, wo die mit der schwersten Strafe bedrohte Tat verübt worden ist, auch für die Verfolgung und die Beurteilung der anderen Taten zuständig. Sind diese strafbaren Handlungen mit der gleichen Strafe bedroht, so sind die Behörden des Or- tes zuständig, wo die Untersuchung zuerst angehoben wird (Art. 344 Abs. 1 StGB).</w:t>
      </w:r>
    </w:p>
    <w:p>
      <w:r>
        <w:rPr>
          <w:b/>
        </w:rPr>
        <w:t>E. 2.3</w:t>
      </w:r>
    </w:p>
    <w:p>
      <w:r>
        <w:t>Die A. im Kanton Zug vorgeworfenen strafbaren Handlungen wegen Nöti- gung (Art. 181 StGB), Sachbeschädigung (Art. 144 Abs. 1 StGB) und Wi- derhandlung gegen das Strassenverkehrsgesetz (Art. 90 Ziff. 2 SVG) ha- ben als Höchststrafe eine Freiheitsstrafe von bis zu drei Jahren oder eine Geldstrafe. Im Kanton Luzern werden A. die Tatbestände der Sachbeschä- digung (Art. 144 Abs. 1 StGB), Ehrverletzung (Art. 173 Ziff. 1 StGB) und Nötigung (Art. 181 StGB) vorgeworfen. Die im Kanton Luzern vorgeworfe- nen Tatbestände von Art. 144 Abs. 1 StGB und Art. 181 StGB beinhalten ebenfalls eine Strafandrohung von einer Freiheitsstrafe von bis zu drei Jah- ren oder einer Geldstrafe. Somit ist in Anwendung von Art. 344 Abs. 1 Satz</w:t>
      </w:r>
    </w:p>
    <w:p>
      <w:r>
        <w:rPr>
          <w:b/>
        </w:rPr>
        <w:t>E. 3</w:t>
      </w:r>
    </w:p>
    <w:p>
      <w:r>
        <w:t>Gemäss Art. 245 Abs. 1 BStP i.V.m. Art. 66 Abs. 4 BGG dürfen dem Bund, den Kantonen oder den Gemeinden in der Regel keine Gerichtskosten auf- erlegt werden, wenn sie in ihrem amtlichen Wirkungskreis und, ohne dass es sich um ihr Vermögensinteresse handelt, das Bundesstrafgericht in An- spruch nehmen oder wenn gegen ihre Entscheide in solchen Angelegen- heiten Beschwerde geführt worden ist. Im vorliegenden Fall drängt sich ein Abweichen von der allgemeinen Regel nicht auf, weshalb dem Gesuchs- gegner keine Kosten auferlegt werden.</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