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BG.2007.28 vom 4. Dezember 2007</w:t>
      </w:r>
    </w:p>
    <w:p>
      <w:r>
        <w:t>Bundesstrafgericht, 2007-12-04, DE</w:t>
      </w:r>
    </w:p>
    <w:p>
      <w:r>
        <w:rPr>
          <w:b/>
        </w:rPr>
        <w:t xml:space="preserve">Quelle: </w:t>
      </w:r>
      <w:r>
        <w:t>https://mcp.opencaselaw.ch/entscheid/bstger_BG.2007.28</w:t>
      </w:r>
    </w:p>
    <w:p>
      <w:r>
        <w:t>FR: TPF BG.2007.28 du 4 décembre 2007</w:t>
      </w:r>
    </w:p>
    <w:p>
      <w:r>
        <w:t>IT: TPF BG.2007.28 del 4 dicembre 2007</w:t>
      </w:r>
    </w:p>
    <w:p>
      <w:pPr>
        <w:pStyle w:val="Heading2"/>
      </w:pPr>
      <w:r>
        <w:t>Regeste</w:t>
      </w:r>
    </w:p>
    <w:p>
      <w:r>
        <w:t>Örtlicher Gerichtsstand (Art. 279 Abs. 2 BStP)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März 2005 E. 1.1);</w:t>
      </w:r>
    </w:p>
    <w:p>
      <w:r>
        <w:t>- A. keinen Entscheid der Strafverfolgungsbehörden des Kantons Freiburg über ihre Zuständigkeit eingereicht hat und folglich kein Anfechtungsobjekt vorliegt;</w:t>
      </w:r>
    </w:p>
    <w:p>
      <w:r>
        <w:t>- A. geltend macht, die Strafverfolgungsbehörden des Kantons Freiburg hät- ten nicht auf sein Schreiben vom 29. September 2007 reagiert, wonach er die Überweisung des Falles an die Strafverfolgungsbehörden des Kantons Zürich verlangt habe;</w:t>
      </w:r>
    </w:p>
    <w:p>
      <w:r>
        <w:t>- A. damit sinngemäss eine Säumnis der Strafverfolgungsbehörden des Kan- tons Freiburg beim Erlass eines Entscheides über die Zuständigkeit geltend macht;</w:t>
      </w:r>
    </w:p>
    <w:p>
      <w:r>
        <w:t>- A. sein Schreiben vom 29. September 2007 nicht eingereicht und somit die angebliche Säumnis nicht belegt hat;</w:t>
      </w:r>
    </w:p>
    <w:p>
      <w:r>
        <w:t>- 3 -</w:t>
      </w:r>
    </w:p>
    <w:p>
      <w:r>
        <w:t>- A. aber die Möglichkeit hat, seine Unzuständigkeitseinrede bei der Ver- handlung vor den Strafverfolgungsbehörden des Kantons Freiburg vom</w:t>
      </w:r>
    </w:p>
    <w:p>
      <w:r>
        <w:rPr>
          <w:b/>
        </w:rPr>
        <w:t>E. 18</w:t>
      </w:r>
    </w:p>
    <w:p>
      <w:r>
        <w:t>Dezember 2007 (act. 1.1) erneut vorzubringen und einen anfechtbaren Entscheid über die Zuständigkeit zu verlangen, welcher allenfalls bei der I. Beschwerdekammer des Bundesstrafgerichts angefochten werden könn- te;</w:t>
      </w:r>
    </w:p>
    <w:p>
      <w:r>
        <w:t>- im Hinblick auf den Ausgang des Verfahrens auf die Durchführung eines Schriftenwechsels verzichtet wurde (Art. 219 Abs. 1 BStP);</w:t>
      </w:r>
    </w:p>
    <w:p>
      <w:r>
        <w:t>- die Beschwerde demnach verfrüht und mangels eines gültigen Anfech- tungsobjektes nicht einzutreten ist (siehe dazu TPF BB.2006.35 vom 17. November 2006);</w:t>
      </w:r>
    </w:p>
    <w:p>
      <w:r>
        <w:t>- das Gesuch um aufschiebende Wirkung damit gegenstandslos wird;</w:t>
      </w:r>
    </w:p>
    <w:p>
      <w:r>
        <w:t>- bei diesem Ausgang des Verfahrens A. die Gerichtskosten zu tragen hat (Art. 245 Abs. 1 BStP i.V.m. Art. 66 Abs. 1 BGG), wobei die Gerichtsgebühr auf Fr. 300.-- festgesetzt wird (Art. 3 des Reglements vom 11. Februar 2004 über die Gerichtsgebühren vor dem Bundesstrafgericht; SR 173.711.32).</w:t>
      </w:r>
    </w:p>
    <w:p>
      <w:r>
        <w:t>- 4 -</w:t>
      </w:r>
    </w:p>
    <w:p>
      <w:r>
        <w:t>Demnach erkennt die I. Beschwerdekammer: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