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BG.2006.5 vom 25. April 2006</w:t>
      </w:r>
    </w:p>
    <w:p>
      <w:r>
        <w:t>Bundesstrafgericht, 2006-04-25, DE</w:t>
      </w:r>
    </w:p>
    <w:p>
      <w:r>
        <w:rPr>
          <w:b/>
        </w:rPr>
        <w:t xml:space="preserve">Quelle: </w:t>
      </w:r>
      <w:r>
        <w:t>https://mcp.opencaselaw.ch/entscheid/bstger_BG.2006.5</w:t>
      </w:r>
    </w:p>
    <w:p>
      <w:r>
        <w:t>FR: TPF BG.2006.5 du 25 avril 2006</w:t>
      </w:r>
    </w:p>
    <w:p>
      <w:r>
        <w:t>IT: TPF BG.2006.5 del 25 aprile 2006</w:t>
      </w:r>
    </w:p>
    <w:p>
      <w:pPr>
        <w:pStyle w:val="Heading2"/>
      </w:pPr>
      <w:r>
        <w:t>Regeste</w:t>
      </w:r>
    </w:p>
    <w:p>
      <w:r>
        <w:t>Bestimmung des Gerichtsstandes i.S. A. (Art. 279 Abs. 2 BStP)</w:t>
      </w:r>
    </w:p>
    <w:p>
      <w:pPr>
        <w:pStyle w:val="Heading2"/>
      </w:pPr>
      <w:r>
        <w:t>Erwägungen</w:t>
      </w:r>
    </w:p>
    <w:p>
      <w:r>
        <w:rPr>
          <w:b/>
        </w:rPr>
        <w:t>E. 1.1</w:t>
      </w:r>
    </w:p>
    <w:p>
      <w:r>
        <w:t>Gemäss Art. 28 Abs. 1 lit. g SGG i.V.m. Art. 279 Abs. 2 BStP kann gegen den Entscheid der kantonalen Strafverfolgungsbehörde über die Gerichts- barkeit des betreffenden Kantons sowie wegen Säumnis beim Erlass eines solchen Entscheids bei der Beschwerdekammer des Bundesstrafgerichts Beschwerde geführt werden. Die Art. 214-219 BStP sind sinngemäss an- wendbar. Entsprechend ist die Beschwerde innert fünf Tagen, nachdem der Beschwerdeführer vom Entscheid Kenntnis erhalten hat, einzureichen (Art. 217 BStP; vgl. hierzu die Entscheide des Bundesstrafgerichts BG.2005.6 vom 6. Juni 2005 E. 1.2 sowie BG.2005.16 vom 12. Juli 2005 E. 2; eingehend zur Beschwerdefrist auch GUIDON/BÄNZIGER, Alter Wein in neuen Schläuchen? – Die Rechtsprechung des Bundesstrafgerichts zum interkantonalen Gerichtsstand in Strafsachen, in: Jusletter 19. Septem- ber 2005, N. 16). Der Beschuldigte ist auch dann legitimiert, den Gerichts- stand anzufechten, wenn dieser zwischen den für die Strafverfolgung in Frage kommenden Kantonen nicht streitig ist (vgl. die Entscheide des Bun- desstrafgerichts BG.2005.8 vom 18. Mai 2005 E. 1 sowie BK_G 127/04 vom 21. Oktober 2004; SCHWERI/BÄNZIGER, Interkantonale Gerichtsstands- bestimmung in Strafsachen, 2. Aufl., Bern 2004, N. 612 f.).</w:t>
      </w:r>
    </w:p>
    <w:p>
      <w:r>
        <w:rPr>
          <w:b/>
        </w:rPr>
        <w:t>E. 1.2</w:t>
      </w:r>
    </w:p>
    <w:p>
      <w:r>
        <w:t>Im vorliegenden Fall wendet sich der Beschwerdeführer gegen den Ent- scheid des Beschwerdegegners 1 vom 18. Januar 2006 (act. 2.3 [VV.2005.93] = act. 1.1). Als Beschuldigter ist er hierzu im vorerwähnten Sinne legitimiert. Die Beschwerde ist indessen nicht fristgerecht eingereicht worden. Gemäss der von der Beschwerdekammer beim Beschwerdegeg- ner 1 am 27. Februar 2006 telefonisch eingeholten Auskunft (act. 5) sowie den Track &amp; Trace-Zustellinformationen (act. 5.1) wurde der fragliche Ent- scheid am 19. Januar 2006 bei der Post aufgegeben und am 23. Janu- ar 2006 vom Beschwerdeführer abgeholt. Mit Blick auf die fünftägige Be- schwerdefrist erweist sich die Beschwerde vom 9. Februar 2006 demge- mäss als offensichtlich verspätet. Allerdings beruht das Fristversäumnis auf einer unrichtigen Rechtsmittelbelehrung des Beschwerdegegners 1. Entge- gen Art. 279 Abs. 2 i.V.m. Art. 217 BStP sowie der dazu ergangenen Rechtsprechung der Beschwerdekammer des Bundesstrafgerichts hat letz- terer in seinen Schreiben vom 6. Dezember 2005 (act. 2.1 [VV.2005.93]) sowie 18. Januar 2006 (act. 2.3 [VV.2005.93] = act. 1.1) sinngemäss den Eindruck erweckt, es bestünde keine gesetzliche Frist zur Anrufung der Beschwerdekammer. Da einer Partei gemäss ständiger bundesgerichtlicher Rechtsprechung (vgl. statt vieler BGE 117 Ia 421, 422 E. 2a m.w.H.) aus einer fehlerhaften Rechtsmittelbelehrung grundsätzlich kein Nachteil ent-</w:t>
      </w:r>
    </w:p>
    <w:p>
      <w:r>
        <w:t>- 5 -</w:t>
      </w:r>
    </w:p>
    <w:p>
      <w:r>
        <w:t>stehen darf, sich daher aufgrund einer unrichtigen Auskunft auch eine ge- setzliche Frist im Einzelfall verlängern kann und vorliegend nicht gesagt werden kann, der Beschwerdeführer habe die Unrichtigkeit gekannt bzw. hätte diese bei gebührender Aufmerksamkeit erkennen können, ist auf die Beschwerde trotz des Fristversäumnisses einzutreten. Mit Blick auf die im vorliegenden Fall aufgetretenen Missverständnisse sowie in Anbetracht der Tatsache, dass nicht nur die Rechtsmittelbelehrung des Beschwerdegeg- ners 1, sondern auch jene anderer Kantone – namentlich in Bezug auf die fünftägige Beschwerdefrist gemäss Art. 217 BStP – oftmals unvollständig sind, erscheint immerhin der Hinweis auf den Anpassungsbedarf in den kantonalen Rechtsmittelbelehrungen angebracht (so auch GUIDON/BÄN- ZIGER, a.a.O. N. 61).</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Grundlage für den Vergleich zweier Strafdrohungen bilden einer- seits die Handlungen, die im Zeitpunkt der Gerichtsstandsbestimmung be- kannt sind, und andererseits die rechtliche Qualifikation dieser Handlungen, so wie sie nach der Aktenlage bei vorläufiger Würdigung möglich ist (SCHWERI/BÄNZIGER, a.a.O., N. 289). Die Schwere der angedrohten Strafe beurteilt sich dabei in erster Linie nach dem angedrohten Höchstmass, wo- bei Qualifikations- und Privilegierungsmerkmale der Tatbestände des Be- sonderen Teils, die den Strafrahmen verschieben, zu berücksichtigen sind (TRECHSEL, Kurzkommentar, 2. Aufl., Zürich 1997, N. 7 zu Art. 350 StGB). Nur wenn für die Handlungen, deren Strafdrohung zu vergleichen ist, die gleiche Höchststrafe vorgesehen ist, gibt die angedrohte Mindeststrafe den Ausschlag (BGE 76 IV 262, 264; SCHWERI/BÄNZIGER, a.a.O., N. 291; TRECHSEL, a.a.O., N. 5 zu Art. 350 StGB; vgl. zum Ganzen die Entscheide des Bundesstrafgerichts BK_G 031/04 vom 12. Mai 2004 E. 1.1; BK_G 035/04 vom 27. Mai 2004 E. 3.3 und BK_G 114/04 vom 7. September 2004 E. 2.1).</w:t>
      </w:r>
    </w:p>
    <w:p>
      <w:r>
        <w:t>Die Beschwerdekammer prüft im Übrigen die einem Beschuldigten vorge- worfenen strafbaren Handlungen frei und ist nicht an die rechtliche Würdi- gung der kantonalen Strafverfolgungsbehörden gebunden (BGE 92 IV 153, 155 E. 1; SCHWERI/BÄNZIGER, a.a.O., N. 288; vgl. auch die Entscheide des Bundesstrafgerichts BK_G 031/04 vom 12. Mai 2004 E. 1.1; BK_G 076/04</w:t>
      </w:r>
    </w:p>
    <w:p>
      <w:r>
        <w:t>- 6 -</w:t>
      </w:r>
    </w:p>
    <w:p>
      <w:r>
        <w:t>vom 27. Oktober 2004 E. 3.2; BK_G 108/04 vom 20. August 2004 E. 2.1 und BK_G 233/04 vom 22. Januar 2005 E. 3.3).</w:t>
      </w:r>
    </w:p>
    <w:p>
      <w:r>
        <w:rPr>
          <w:b/>
        </w:rPr>
        <w:t>E. 2.2</w:t>
      </w:r>
    </w:p>
    <w:p>
      <w:r>
        <w:t>Vorliegend ist unbestritten, dass der Beschwerdeführer sowohl im Kanton Graubünden als auch im Kanton Tessin strafbare Handlungen verübt ha- ben soll. Als die mit der schwersten Strafe bedrohte Tat ist das Führen ei- nes Motorfahrzeuges ohne die vorgeschriebene Haftpflichtversicherung (Art. 96 Ziff. 2 Abs. 1 SVG) zu betrachten, ist hierfür doch anders als bei den anderen zur Last gelegten Delikten als Mindeststrafe Gefängnis und Busse vorgesehen (siehe dazu auch SCHWERI/BÄNZIGER, a.a.O., N. 292).</w:t>
      </w:r>
    </w:p>
    <w:p>
      <w:r>
        <w:t>Offen bleiben kann demgegenüber mangels Relevanz für die Bestimmung des Gerichtsstandes, ob – wie der Beschwerdeführer sinngemäss bestrei- tet – der Tatbestand des Führens eines nicht betriebssicheren Fahrzeuges im Sinne von Art. 93 Ziff. 2 Abs. 1 SVG i.V.m. Art. 96 VTS aufgrund der Ak- ten überhaupt in Frage kommt. In diesem Zusammenhang ist der Vollstän- digkeit halber darauf hinzuweisen, dass die Beschwerdekammer im Rah- men des vorliegenden Verfahrens ohnehin nur eine Vorprüfung vorzuneh- men und nicht etwa darüber zu entscheiden hat, ob ein Straftatbestand er- füllt, der Beschuldigte deswegen weiterzuverfolgen, dem Richter zu über- weisen und zu verurteilen ist; der Entscheid der Beschwerdekammer ist denn auch für die kantonalen Behörden nur hinsichtlich des Gerichtsstan- des verbindlich (vgl. BGE 91 IV 54, 55).</w:t>
      </w:r>
    </w:p>
    <w:p>
      <w:r>
        <w:rPr>
          <w:b/>
        </w:rPr>
        <w:t>E. 3.1</w:t>
      </w:r>
    </w:p>
    <w:p>
      <w:r>
        <w:t>Der gemeinsame Gerichtsstand gemäss Art. 350 Ziff. 1 Abs. 1 StGB befin- det sich dort, wo die mit der schwersten Strafe bedrohte Tat für sich allein zu verfolgen und zu beurteilen wäre (BGE 71 IV 156, 159 E. 1; SCHWE- RI/BÄNZIGER, a.a.O., N. 264). Dies ist in der Regel an jenem Ort, wo die Tat ausgeführt wurde (Art. 346 StGB; BGE 71 IV 156, 159 E. 1). Nach Art. 346 StGB sind für die Verfolgung und Beurteilung einer strafbaren Handlung die Behörden des Ortes zuständig, wo die strafbare Handlung ausgeführt wur- de (Art. 346 Abs. 1 Satz 1 StGB); ist die strafbare Handlung an mehreren Orten ausgeführt worden oder ist der Erfolg an mehreren Orten eingetre- ten, so sind die Behörden des Ortes zuständig, wo die Untersuchung zuerst angehoben wurde (Art. 346 Abs. 2 StGB). Eine Untersuchung gilt unter an- derem dann als angehoben und ein Täter als verfolgt, wenn eine Straf-, Un- tersuchungs- oder Polizeibehörde durch die Vornahme von Erhebungen oder in anderer Weise zu erkennen gegeben hat, dass sie jemanden einer strafbaren Handlung verdächtigt, oder wenn eine solche Handlung wenigs-</w:t>
      </w:r>
    </w:p>
    <w:p>
      <w:r>
        <w:t>- 7 -</w:t>
      </w:r>
    </w:p>
    <w:p>
      <w:r>
        <w:t>tens zum Gegenstand einer Strafanzeige gemacht worden ist (Entscheide des Bundesstrafgerichts BK_G 035/04 E. 4.1 vom 27. Mai 2004 E. 4.1, BK_G 166/04 vom 11. November 2004 E. 2.2 und BK_G 173/04 vom 30. November 2004 E. 2.3 m.w.H.; vgl. auch SCHWERI/BÄNZIGER, a.a.O., N. 141). Mit dem Eingang der Strafanzeige bei der zuständigen Behörde, insbesondere bei der gerichtlichen Polizei, ist die Untersuchung mit ande- ren Worten als angehoben zu betrachten (SCHWERI/BÄNZIGER, a.a.O., N. 142 mit zahlreichen Hinweisen). Lediglich die blosse Weiterleitung einer Strafanzeige durch den nicht zuständigen Kanton an einen möglicherweise zuständigen Kanton hebt die Untersuchung nicht an und begründet keinen Gerichtsstand der Prävention (BGE 121 IV 38, 40 E. 2c).</w:t>
      </w:r>
    </w:p>
    <w:p>
      <w:r>
        <w:rPr>
          <w:b/>
        </w:rPr>
        <w:t>E. 3.2</w:t>
      </w:r>
    </w:p>
    <w:p>
      <w:r>
        <w:t>Im vorliegenden Fall ergibt sich aus den Akten der begründete Verdacht, dass der Beschwerdeführer am 20. Dezember 2004 im Kanton Tessin das Kontrollschild TI xxxx entwendet hat, um seinen Wagen in den Kanton Gla- rus überführen zu können (vgl. act. 1.13 [VV.2005.93]). Ebenso geht aus den im Recht liegenden Unterlagen hervor, dass der betroffene Garagist diesen Umstand noch am gleichen Tag zur Anzeige gebracht hat (act. 15.1 und 15.2). Unbestritten geblieben ist schliesslich, dass die Behörden des Beschwerdegegners 2 am 22. Dezember 2004 eine entsprechende Fahn- dung im automatisierten Fahndungssystem (RIPOL) auslösten. Ob damit die Untersuchung bezüglich des Führens eines Motorfahrzeuges ohne die vorgeschriebene Haftpflichtversicherung (Art. 96 Ziff. 2 Abs. 1 SVG) als im vorliegenden Fall massgebende strafbare Handlung angehoben wurde, er- scheint freilich zweifelhaft. Letztlich braucht die Frage indessen nicht ent- schieden zu werden. Selbst wenn man dies bejahen und damit die Zustän- digkeit des Beschwerdegegners 2 annehmen wollte, könnte die Beschwer- de, wie sich aus der nachfolgenden Erwägung ergibt, nicht gutgeheissen werden.</w:t>
      </w:r>
    </w:p>
    <w:p>
      <w:r>
        <w:rPr>
          <w:b/>
        </w:rPr>
        <w:t>E. 4.1</w:t>
      </w:r>
    </w:p>
    <w:p>
      <w:r>
        <w:t>Der Beschuldigte, der die mit der Sache befasste Behörde für unzuständig hält, kann mit dem Bestreiten der Zuständigkeit nicht beliebig zuwarten. Vielmehr hat er das Gesuch um Übermittlung der Sache an die seines Er- achtens zuständige Behörde einzureichen, sobald er die erforderlichen, ei- ne Bestreitung rechtfertigenden Elemente kennt (GUIDON/BÄNZIGER, a.a.O., N. 17; Entscheide des Bundesstrafgerichts BK_G 180/04 vom 25. Novem- ber 2004 E. 2.4 sowie BG.2005.16 vom 12. Juli 2005 E. 3). Ebenso hat die Rechtsprechung stets verlangt, dass der Beschuldigte, der den Gerichts- stand bestreiten will, das in einem Zeitpunkt tut, in dem das Verfahren noch nicht soweit gediehen ist, dass sich eine Änderung des Gerichtsstandes mit</w:t>
      </w:r>
    </w:p>
    <w:p>
      <w:r>
        <w:t>- 8 -</w:t>
      </w:r>
    </w:p>
    <w:p>
      <w:r>
        <w:t>dem Erfordernis einer raschen Abwicklung der Strafverfolgung nicht mehr verträgt (BGE 86 IV 65, 67 E. 1). Einer Beschwerde ist deshalb in der Re- gel keine Folge zu geben, wenn sie erst unmittelbar vor der Aburteilung ge- stellt wird. In diesem Zeitpunkt des Verfahrens soll der Gerichtsstand nur noch aus triftigen Gründen gewechselt werden, weil sonst die Änderung dem Erfordernis der raschen Abwicklung des Strafverfahrens zuwiderliefe und der Beschuldigte es in der Hand hätte, durch Zuwarten das Verfahren in die Länge zu ziehen (Entscheid des Bundesstrafgerichts BG.2005.2 vom 15. April 2005 E. 1.2; SCHWERI/BÄNZIGER, a.a.O., N. 623 m.w.H.).</w:t>
      </w:r>
    </w:p>
    <w:p>
      <w:r>
        <w:rPr>
          <w:b/>
        </w:rPr>
        <w:t>E. 4.2</w:t>
      </w:r>
    </w:p>
    <w:p>
      <w:r>
        <w:t>Vorliegend musste der Beschwerdeführer bereits anlässlich seiner Kontrol- le durch die Kantonspolizei Graubünden am 23. Dezember 2004 in San Bernardino/GR davon ausgehen, dass die Entwendung des Kontrollschil- des TI xxxx vom betroffenen Tessiner Garagisten zur Anzeige gebracht worden war. Es hätte ihm entsprechend oblegen, sofort nach Eröffnung der Strafuntersuchung durch den Beschwerdegegner 1 am 11. Januar 2005 (act. 1.1 [VV.2005.93]) dessen Zuständigkeit zu bestreiten. Soweit aus den Akten ersichtlich, erhob er diesen Einwand jedoch erstmals in seiner Ein- sprache vom 1. Dezember 2005 (act. 1.18 [VV.2005.93]) gegen den Straf- befehl des Kreispräsidenten von Mesocco vom 27. Oktober 2005 (act. 1.13 [VV.2005.93]). Sein Gesuch um Überweisung der Angelegenheit an den Beschwerdegegner 2 muss damit als verspätet qualifiziert werden, weshalb seine Beschwerde abzuweisen ist. Dazu kommt, dass das Verfahren vor- liegend bereits soweit gediehen ist, dass sich eine Änderung des Gerichts- standes mit dem Erfordernis einer raschen Abwicklung der Strafverfolgung nicht mehr verträgt. Auch unter diesem Gesichtspunkt kann die Beschwer- de nicht gutgeheissen werden.</w:t>
      </w:r>
    </w:p>
    <w:p>
      <w:r>
        <w:rPr>
          <w:b/>
        </w:rPr>
        <w:t>E. 4.3</w:t>
      </w:r>
    </w:p>
    <w:p>
      <w:r>
        <w:t>Nach dem Gesagten ist die Beschwerde abzuweisen und der Beschwerde- gegner 1 für berechtigt und verpflichtet zu erklären, die dem Beschwerde- führer zur Last gelegten strafbaren Handlungen zu verfolgen und zu beur- teilen.</w:t>
      </w:r>
    </w:p>
    <w:p>
      <w:r>
        <w:rPr>
          <w:b/>
        </w:rPr>
        <w:t>E. 5.1</w:t>
      </w:r>
    </w:p>
    <w:p>
      <w:r>
        <w:t>Für Kosten und Entschädigung im Verfahren vor dem Bundesstrafgericht gelten die Art. 146-161 OG, soweit das Bundesstrafrechtspflegegesetz kei- ne abweichenden Bestimmungen enthält (Art. 30 SGG i.V.m. Art. 245 BStP; vgl. auch Art. 149 OG). Gemäss Art. 156 Abs. 1 OG werden die Ge- richtskosten in der Regel der vor Bundesstrafgericht unterliegenden Partei auferlegt. Allerdings gewährt das Bundesstrafgericht einer bedürftigen Par-</w:t>
      </w:r>
    </w:p>
    <w:p>
      <w:r>
        <w:t>- 9 -</w:t>
      </w:r>
    </w:p>
    <w:p>
      <w:r>
        <w:t>tei, deren Rechtsbegehren nicht aussichtslos erscheint, auf Antrag Befrei- ung von der Bezahlung der Gerichtskosten (Art. 152 Abs. 1 OG).</w:t>
      </w:r>
    </w:p>
    <w:p>
      <w:r>
        <w:rPr>
          <w:b/>
        </w:rPr>
        <w:t>E. 5.2</w:t>
      </w:r>
    </w:p>
    <w:p>
      <w:r>
        <w:t>Die Beschwerdekammer des Bundesstrafgerichts hat das Gesuch des Be- schwerdeführers um Gewährung der unentgeltlichen Rechtspflege in Be- zug auf die Gerichtskosten für das vorliegende Verfahren mit separatem Entscheid vom 22. März 2006 (act. 10) gutgeheissen. Die Gerichtskosten bestehend aus der auf Fr. 1'500.-- anzusetzenden Gerichtsgebühr (Art. 3 des Reglements vom 11. Februar 2004 über die Gerichtsgebühren vor dem Bundesstrafgericht; SR 173.711.32) werden demgemäss vorläufig von der Bundesstrafgerichtskasse übernommen. Wenn der Beschwerdeführer dazu im Stande ist, hat er der Bundesstrafgerichtskasse dafür Ersatz zu leisten.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