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BG.2006.34 vom 21. Dezember 2006</w:t>
      </w:r>
    </w:p>
    <w:p>
      <w:r>
        <w:t>Bundesstrafgericht, 2006-12-21, DE</w:t>
      </w:r>
    </w:p>
    <w:p>
      <w:r>
        <w:rPr>
          <w:b/>
        </w:rPr>
        <w:t xml:space="preserve">Quelle: </w:t>
      </w:r>
      <w:r>
        <w:t>https://mcp.opencaselaw.ch/entscheid/bstger_BG.2006.34</w:t>
      </w:r>
    </w:p>
    <w:p>
      <w:r>
        <w:t>FR: TPF BG.2006.34 du 21 décembre 2006</w:t>
      </w:r>
    </w:p>
    <w:p>
      <w:r>
        <w:t>IT: TPF BG.2006.34 del 21 dicembre 2006</w:t>
      </w:r>
    </w:p>
    <w:p>
      <w:pPr>
        <w:pStyle w:val="Heading2"/>
      </w:pPr>
      <w:r>
        <w:t>Regeste</w:t>
      </w:r>
    </w:p>
    <w:p>
      <w:r>
        <w:t>Bestimmung des Gerichtsstandes i.S. A. (Art. 350 Ziff. 1 StGB)</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dass hierüber ein Mei- nungsaustausch durchgeführt wurde (SCHWERI/BÄNZIGER, Interkantonale Gerichtsstandsbestimmung in Strafsachen, 2. Aufl., Bern 2004, N. 599). Eine Frist für die Anrufung der Beschwerdekammer besteht für die Behör- den nicht (SCHWERI/BÄNZIGER, a.a.O., N. 623). Welche Behörden in den einzelnen Kantonen berechtigt sind, ihren Kanton im Verfahren vor der Be- schwerdekammer zu vertreten, ergibt sich aus kantonalem Recht (SCHWE- RI/BÄNZIGER, a.a.O., N. 604 und Anhang II, S. 213 ff.).</w:t>
      </w:r>
    </w:p>
    <w:p>
      <w:r>
        <w:t>- 4 -</w:t>
      </w:r>
    </w:p>
    <w:p>
      <w:r>
        <w:rPr>
          <w:b/>
        </w:rPr>
        <w:t>E. 1.2</w:t>
      </w:r>
    </w:p>
    <w:p>
      <w:r>
        <w:t>Die Eintretensvoraussetzungen sind vorliegend erfüllt; auf das Gesuch ist somit einzutreten.</w:t>
      </w:r>
    </w:p>
    <w:p>
      <w:r>
        <w:rPr>
          <w:b/>
        </w:rPr>
        <w:t>E. 1.3</w:t>
      </w:r>
    </w:p>
    <w:p>
      <w:r>
        <w:t>Es ist jedoch zu bemerken, dass dem Gesuch nicht sämtliche für die Ge- richtsstandsbestimmung notwendigen Angaben entnommen werden kön- nen und es in diesem Sinne mangelhaft ist. Da dies aber von keiner Partei gerügt wird und der Aktenumfang gering ist, lässt es die Beschwerdekam- mer ausnahmsweise mit diesem Hinweis bewenden. Es kann indessen nicht Aufgabe der Beschwerdekammer sein, die für die Gerichtsstandsbe- stimmung notwendigen Angaben – wie beispielsweise das Datum des Ein- gangs der ersten Anzeigen in den jeweiligen Kantonen oder die sachver- haltsrelevanten Umstände – in den Akten zusammenzusuchen. Derartige Versäumnisse ziehen in der Regel die Folge des Nichteintretens nach sich (vgl. dazu auch SCHWERI/BÄNZIGER, a.a.O., N. 630 f.).</w:t>
      </w:r>
    </w:p>
    <w:p>
      <w:r>
        <w:rPr>
          <w:b/>
        </w:rPr>
        <w:t>E. 2.1</w:t>
      </w:r>
    </w:p>
    <w:p>
      <w:r>
        <w:t>In der Strafverfügung der Staatsanwaltschaft des Kantons Solothurn vom 16. März 2006 werden die A. im Kanton Solothurn vorgeworfenen Taten unter anderem als mehrfache einfache Betrugsdelikte im Sinne von Art. 146 Abs. 1 StGB qualifiziert. Demgegenüber führen sowohl der Kanton Bern als auch der Kanton Graubünden wegen den Straftaten, die sich auf ihrem Kantonsgebiet zugetragen haben, je ein Strafverfahren wegen ge- werbsmässigen Betrugs im Sinne von Art. 146 Abs. 2 StGB. Letztere brin- gen sinngemäss vor, diese qualifizierten Betrugsfälle stünden in einem derart engen Zusammenhang mit den Betrugsfällen auf dem Gebiet des Kantons Solothurn, dass sie eine Einheit bilden würden, und folglich der Kanton Solothurn als erstanhebende Behörde für den Fall zuständig sei. Wie es sich damit verhält, ist nachfolgend zu prüfen.</w:t>
      </w:r>
    </w:p>
    <w:p>
      <w:r>
        <w:rPr>
          <w:b/>
        </w:rPr>
        <w:t>E. 2.2</w:t>
      </w:r>
    </w:p>
    <w:p>
      <w:r>
        <w:t>Beim Kollektivdelikt fallen vielfach gewerbsmässige und einzelne nicht ge- werbsmässige Handlungen zusammen. Diese Einheit wirkt sich auch bei der Gerichtsstandsbestimmung in dem Sinne aus, dass alle dem Täter un- ter dem Titel des gewerbsmässigen Delikts zur Last gelegten Verfehlungen gleich zu behandeln sind und als mit der gleichen Strafe bedroht zu gelten haben. Gemäss Art. 346 Abs. 2 und Art. 350 Ziff. 1 Abs. 2 StGB sind in ei- nem solchen Fall die Behörden jenes Ortes zur Verfolgung zuständig, wo die Untersuchung zuerst angehoben wurde (BGE 112 IV 61, 63 E. 1). Das bedeutet nun aber nicht, dass in jedem Verfahren, in welchem ein einfacher Betrug mit gewerbsmässigen Betrugsdelikten zusammentrifft, Ersterer im- mer ohne weiteres auch Teil des Kollektivdelikts bildet. Vom Kollektivdelikt werden die nicht gewerbsmässigen Handlungen nur erfasst, wenn sie mit</w:t>
      </w:r>
    </w:p>
    <w:p>
      <w:r>
        <w:t>- 5 -</w:t>
      </w:r>
    </w:p>
    <w:p>
      <w:r>
        <w:t>den gewerbsmässigen eine Einheit bilden, d.h. wenn sie als Teilhandlun- gen eines Gewerbes erscheinen. Das setzt zumindest einen äusseren Zu- sammenhang der gewerbsmässigen und nicht gewerbsmässigen Handlun- gen voraus (BGE 118 IV 91, 92 ff. E. 4, 108 IV 142, 144 E. 2).</w:t>
      </w:r>
    </w:p>
    <w:p>
      <w:r>
        <w:t>Wenn die Untersuchung nun für eine einzelne nicht gewerbsmässige Hand- lung eingeleitet worden war, bevor die Untersuchung für die gewerbsmäs- sigen Handlungen eröffnet wurde, wirkt sich die oben gemachte Unter- scheidung für die Gerichtsstandsbestimmung praktisch wie folgt aus: Fällt die einzelne nicht gewerbsmässige Handlung mit den gewerbsmässigen Handlungen zu einer Einheit zusammen, dann gelten alle Handlungen als mit derselben Strafe bedroht; gemäss Art. 350 Ziff. 1 Abs. 2 StGB sind die Behörden jenes Ortes zur Verfolgung zuständig, wo die Untersuchung zu- erst eingeleitet wurde, das heisst die Behörden jenes Ortes, an dem die nicht gewerbsmässige Handlung ausgeführt wurde. Bildet demgegenüber die einzelne nicht gewerbsmässige Handlung mit den gewerbsmässigen Handlungen keine Einheit, so ist sie mit geringerer Strafe bedroht als die gewerbsmässigen Delikte, so dass sie nach Art. 350 Ziff. 1 Abs. 1 StGB den Gerichtsstand nicht zu begründen vermag. Zuständig sind dann die Behörden jenes Ortes, an dem bezüglich der gewerbsmässigen Handlun- gen die Untersuchung zuerst angehoben wurde (vgl. zum Ganzen SCHWE- RI/BÄNZIGER, a.a.O., N. 84 f. m.w.H.).</w:t>
      </w:r>
    </w:p>
    <w:p>
      <w:r>
        <w:rPr>
          <w:b/>
        </w:rPr>
        <w:t>E. 2.3</w:t>
      </w:r>
    </w:p>
    <w:p>
      <w:r>
        <w:t>Im vorliegenden Fall liegt zwischen den Taten im Kanton Solothurn und den Vorfällen in den Kantonen Bern und Graubünden mit einem Abstand von rund einem Jahr eine relativ grosse Zeitspanne. Dieser Umstand deu- tet darauf hin, dass die Taten keine Einheit bilden. Überdies ist auch der modus operandi ein anderer: Bei den Taten im Kanton Solothurn ging es in erster Linie darum, bei der B. unter falschem Namen einen Vertrag zu er- wirken, darüber Telefonleistungen zu beanspruchen und diese hernach nicht zu bezahlen. Die Taten in den anderen Kantonen sind vor allem da- durch charakterisiert, dass A. von einem Hotelzimmer oder einer gemiete- ten Ferienwohnung aus – die in ihrem Auftrag teils mit technischen Anlagen versehen worden waren – aufwändig telefonierte und dadurch den Emp- fänger – einen Besitzer von gebührenpflichtigen Telefonnummern – berei- cherte, um hernach mit diesem gemeinsam die unrechtmässig erworbenen Vermögenswerte zur Bestreitung des Lebensunterhalts einzusetzen. Es steht damit fest, dass die strafbaren Handlungen im Kanton Solothurn mit den gewerbsmässigen Taten in den anderen Kantonen keine Einheit bilden und auch einer geringeren Strafandrohung unterliegen. Nach Massgabe der oben stehenden Ausführungen ist somit derjenige Kanton zur Strafver-</w:t>
      </w:r>
    </w:p>
    <w:p>
      <w:r>
        <w:t>- 6 -</w:t>
      </w:r>
    </w:p>
    <w:p>
      <w:r>
        <w:t>folgung und -beurteilung zuständig, der die Untersuchung bezüglich der gewerbsmässigen Delikte zuerst angehoben hat.</w:t>
      </w:r>
    </w:p>
    <w:p>
      <w:r>
        <w:rPr>
          <w:b/>
        </w:rPr>
        <w:t>E. 3.1</w:t>
      </w:r>
    </w:p>
    <w:p>
      <w:r>
        <w:t>Allgemein gilt eine Untersuchung dann als angehoben und ein Täter dann als verfolgt, wenn eine Straf-, Untersuchungs- oder Polizeibehörde durch die Vornahme von Erhebungen oder in anderer Weise zu erkennen gege- ben hat, dass sie jemanden – einen bekannten oder noch unbekannten Tä- 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(SCHWE- RI/BÄNZIGER, a.a.O., N. 141 f. m.w.H.; vgl. TPF BG.2006.18 vom 12. Mai 2006 E. 4.1, BG.2006.5 vom 25. April 2006 E. 3.1 und BK_G 166/04 vom 11. November 2004 E. 2.2).</w:t>
      </w:r>
    </w:p>
    <w:p>
      <w:r>
        <w:rPr>
          <w:b/>
        </w:rPr>
        <w:t>E. 3.2</w:t>
      </w:r>
    </w:p>
    <w:p>
      <w:r>
        <w:t>Im vorliegenden Fall stellt der Eingang der Strafanzeige vom 19. Dezem- ber 2005 im Kanton Graubünden die erste Untersuchungshandlung wegen gewerbsmässigen Betrugs dar. Damit gilt die Untersuchung als zuerst im Kanton Graubünden angehoben. Dieser ist darum berechtigt und verpflich- tet, die A. vorgeworfenen Straftaten zu verfolgen und zu beurteilen.</w:t>
      </w:r>
    </w:p>
    <w:p>
      <w:r>
        <w:rPr>
          <w:b/>
        </w:rPr>
        <w:t>E. 4</w:t>
      </w:r>
    </w:p>
    <w:p>
      <w:r>
        <w:t>Es werden keine Kosten erhoben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