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BG.2006.33 vom 15. Januar 2007</w:t>
      </w:r>
    </w:p>
    <w:p>
      <w:r>
        <w:t>Bundesstrafgericht, 2007-01-15, DE</w:t>
      </w:r>
    </w:p>
    <w:p>
      <w:r>
        <w:rPr>
          <w:b/>
        </w:rPr>
        <w:t xml:space="preserve">Quelle: </w:t>
      </w:r>
      <w:r>
        <w:t>https://mcp.opencaselaw.ch/entscheid/bstger_BG.2006.33</w:t>
      </w:r>
    </w:p>
    <w:p>
      <w:r>
        <w:t>FR: TPF BG.2006.33 du 15 janvier 2007</w:t>
      </w:r>
    </w:p>
    <w:p>
      <w:r>
        <w:t>IT: TPF BG.2006.33 del 15 gennaio 2007</w:t>
      </w:r>
    </w:p>
    <w:p>
      <w:pPr>
        <w:pStyle w:val="Heading2"/>
      </w:pPr>
      <w:r>
        <w:t>Regeste</w:t>
      </w:r>
    </w:p>
    <w:p>
      <w:r>
        <w:t>Säumnis bei Gerichtsstandsermittlung i.S. A. AG (Art. 279 Abs. 1 BStP)</w:t>
      </w:r>
    </w:p>
    <w:p>
      <w:pPr>
        <w:pStyle w:val="Heading2"/>
      </w:pPr>
      <w:r>
        <w:t>Erwägungen</w:t>
      </w:r>
    </w:p>
    <w:p>
      <w:r>
        <w:rPr>
          <w:b/>
        </w:rPr>
        <w:t>E. 4</w:t>
      </w:r>
    </w:p>
    <w:p>
      <w:r>
        <w:t>September 2006 wissen, dass eine Abklärung der Frage des zugeri- schen Tatortes aufgrund eines entsprechenden Rechtshilfeersuchens mög- lich wäre, was ebenfalls darauf hindeutet, dass die Frage, ob es sich bei der A. AG tatsächlich um eine reine Briefkastengesellschaft handelt, nicht abschliessend geklärt wurde. Wie zuvor erläutert (supra Ziff. 2.1), darf ein für die Strafverfolgung ernstlich in Frage kommender Kanton den Kanton, in welchem das Strafverfahren bereits hängig ist, für die Ermittlung des ge- richtsstandsrelevanten Sachverhalts nicht auf den Rechtshilfeweg verwei- sen.</w:t>
      </w:r>
    </w:p>
    <w:p>
      <w:r>
        <w:t>2.6 Was die B. AG anbelangt, so hat der Gesuchsgegner nach eigenen Anga- ben keine Erhebungen vorgenommen. Er hat insbesondere nicht abgeklärt, ob die B. AG im Kanton Zug operativ tätig ist oder war.</w:t>
      </w:r>
    </w:p>
    <w:p>
      <w:r>
        <w:t>Die Tatbestände der Art. 197 Ziff. 1 StGB und Art. 24 UWG sind Offizialde- likte, welche gemäss Art. 30 Abs. 1 StGB (Art. 28 aStGB) e contrario i.V.m. Art. 333 Abs. 1 StGB von Amtes wegen zu verfolgen sind. Des Weiteren</w:t>
      </w:r>
    </w:p>
    <w:p>
      <w:r>
        <w:t>- 7 -</w:t>
      </w:r>
    </w:p>
    <w:p>
      <w:r>
        <w:t>war der Gesuchsgegner aufgrund des Ersuchens vom 14. Juni 2005 ver- pflichtet, im eigenen Kanton sämtliche für die Bestimmung der interkanto- nalen Zuständigkeit notwendigen Erhebungen vorzunehmen. Der Einwand des Gesuchsgegners, das Ersuchen hätte sich einzig auf die A. AG bezo- gen, erweist sich daher von vornherein als unbehelflich.</w:t>
      </w:r>
    </w:p>
    <w:p>
      <w:r>
        <w:t>Der Gesuchsgegner kann schliesslich seine Mitwirkung auch nicht mit der Begründung verweigern, der Kanton Zürich sei noch nicht aufgefordert worden entsprechende Abklärungen vorzunehmen. Zwar erscheint es aus Gründen der Prozessökonomie angebracht, die notwendigen Erhebungen in den zur Frage stehenden Kantonen parallel durchzuführen. Nichts spricht jedoch dagegen, dass der Gesuchsgegner seinerseits den Kanton Zürich auffordert, sich am Meinungsaustausch zu beteiligen und die für die Bestimmung des Gerichtsstandes notwendigen Abklärungen zu treffen.</w:t>
      </w:r>
    </w:p>
    <w:p>
      <w:r>
        <w:t>2.7 Aus dem Gesagten ergibt sich, dass der Gesuchsgegner, als für die Straf- verfolgung ernstlich in Frage kommender Kanton, seiner Pflicht, im eigenen Kanton eine abschliessende Klärung des gerichtsstandsrelevanten Sach- verhalts vorzunehmen, nicht nachgekommen ist. Das vorliegende Gesuch ist demnach gutzuheissen und der Gesuchsgegner zu verpflichten, die für die Bestimmung des Gerichtsstandes notwendigen Erhebungen durchzu- führen.</w:t>
      </w:r>
    </w:p>
    <w:p>
      <w:r>
        <w:t>3. Es werden keine Kosten erhoben (Art. 245 BStP i.V.m. Art. 156 Abs. 2 OG; vgl. auch Art.132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