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BG.2006.29 vom 24. August 2006</w:t>
      </w:r>
    </w:p>
    <w:p>
      <w:r>
        <w:t>Bundesstrafgericht, 2006-08-24, DE</w:t>
      </w:r>
    </w:p>
    <w:p>
      <w:r>
        <w:rPr>
          <w:b/>
        </w:rPr>
        <w:t xml:space="preserve">Quelle: </w:t>
      </w:r>
      <w:r>
        <w:t>https://mcp.opencaselaw.ch/entscheid/bstger_BG.2006.29</w:t>
      </w:r>
    </w:p>
    <w:p>
      <w:r>
        <w:t>FR: TPF BG.2006.29 du 24 août 2006</w:t>
      </w:r>
    </w:p>
    <w:p>
      <w:r>
        <w:t>IT: TPF BG.2006.29 del 24 agosto 2006</w:t>
      </w:r>
    </w:p>
    <w:p>
      <w:pPr>
        <w:pStyle w:val="Heading2"/>
      </w:pPr>
      <w:r>
        <w:t>Regeste</w:t>
      </w:r>
    </w:p>
    <w:p>
      <w:r>
        <w:t>Bestimmung des Gerichtsstandes i.S. A.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dass hierüber ein Mei- nungsaustausch durchgeführt wurde (SCHWERI/BÄNZIGER, Interkantonale Gerichtsstandsbestimmung in Strafsachen, 2. Aufl., Bern 2004, N. 599). Eine Frist für die Anrufung der Beschwerdekammer besteht für die Behör- den nicht (SCHWERI/BÄNZIGER, a.a.O., N. 623). Welche Behörden in den einzelnen Kantonen berechtigt sind, ihren Kanton im Verfahren vor der Be- schwerdekammer zu vertreten, ergibt sich aus kantonalem Recht (SCHWE- RI/BÄNZIGER, a.a.O., N. 604 und Anhang II, S. 213 ff.).</w:t>
      </w:r>
    </w:p>
    <w:p>
      <w:r>
        <w:rPr>
          <w:b/>
        </w:rPr>
        <w:t>E. 1.2</w:t>
      </w:r>
    </w:p>
    <w:p>
      <w:r>
        <w:t>Die Oberstaatsanwaltschaft des Kantons Zürich ist nach Massgabe der kantonalen Zuständigkeitsordnung berechtigt, bei interkantonalen Gerichts- standskonflikten ihren Kanton vor der Beschwerdekammer des Bundes- strafgerichts zu vertreten. Gemäss Art. 73 des solothurnischen Gesetzes vom 13. März 1977 über die Gerichtsorganisation (GO; BGS 125.12) führt der Oberstaatsanwalt in strittigen Fällen die Gerichtsstandsverhandlungen, wobei er damit einen Staatsanwalt beauftragen kann. Nach Angaben der Jugendanwaltschaft habe die Staatsanwaltschaft des Kantons Solothurn, vertreten durch den Oberstaatsanwalt, infolge fehlender Zuständigkeit die Einladung zur Gesuchsantwort im vorliegenden Verfahren an die Jugend- anwaltschaft weitergeleitet. In Jugendstrafverfahren sei nämlich allein die Jugendanwaltschaft zuständig; die Legitimation der Jugendanwaltschaft in Zuständigkeitsfragen ergebe sich aus Art. 82 und 83 GO sowie aus Art. 2 der solothurnischen Strafprozessordnung vom 7. Juni 1970 (StPO; BGS 321.1). Ob dem so ist, erscheint fraglich, kann aber vorliegend offen bleiben, da jedenfalls die Weiterleitungsverfügung des Oberstaatsanwalts des Kantons Solothurn vom 14. August 2006 (act. 6) an die Jugendanwalt-</w:t>
      </w:r>
    </w:p>
    <w:p>
      <w:r>
        <w:t>- 4 -</w:t>
      </w:r>
    </w:p>
    <w:p>
      <w:r>
        <w:t>schaft als Beauftragung im Sinne von Art. 73 Abs. 2 GO an den für das Ju- gendstrafrecht zuständigen Staatsanwalt zu verstehen ist. Somit ist die Ju- gendanwaltschaft im vorliegenden Verfahren berechtigt, ihren Kanton vor der Beschwerdekammer des Bundesstrafgerichts zu vertreten.</w:t>
      </w:r>
    </w:p>
    <w:p>
      <w:r>
        <w:t>Die übrigen Eintretensvoraussetzungen sind vorliegend ebenfalls erfüllt und geben keinen Anlass zu weiteren Bemerkungen. Auf das Gesuch ist somit einzutreten.</w:t>
      </w:r>
    </w:p>
    <w:p>
      <w:r>
        <w:rPr>
          <w:b/>
        </w:rPr>
        <w:t>E. 2</w:t>
      </w:r>
    </w:p>
    <w:p>
      <w:r>
        <w:t>Im vorliegenden Fall bringt der Gesuchsteller vor, der Beschuldigte sei im Zeitpunkt der Begehung der mutmasslichen Straftaten noch nicht 18 Jahre alt gewesen, weshalb die Bestimmungen über das Jugendstrafrecht zur Anwendung gelangen würden und damit der Wohnsitzkanton, mithin der Gesuchsgegner, zur Verfolgung und Beurteilung dessen Straftaten zustän- dig sei.</w:t>
      </w:r>
    </w:p>
    <w:p>
      <w:r>
        <w:rPr>
          <w:b/>
        </w:rPr>
        <w:t>E. 2.1</w:t>
      </w:r>
    </w:p>
    <w:p>
      <w:r>
        <w:t>Die Beschwerdekammer hat von derjenigen Aktenlage auszugehen, die im Zeitpunkt ihres Entscheids gegeben ist. Während sie die rechtliche Würdi- gung der einem Beschuldigten vorgeworfenen strafbaren Handlungen frei prüft und nicht an die Würdigung der kantonalen Strafverfolgungsbehörden gebunden ist, sind Tatfragen grundsätzlich vom kantonalen Sachrichter zu entscheiden. Die Beschwerdekammer darf diesen Entscheid nicht vorweg nehmen. Wo sie für die Bestimmung des Gerichtsstandes aufgrund der bisher ergangenen Akten Ausführungen über die tatsächlichen Verhältnisse machen muss, sind diese für den später urteilenden Richter nicht verbind- lich (SCHWERI/BÄNZIGER, a.a.O., N. 62 f.).</w:t>
      </w:r>
    </w:p>
    <w:p>
      <w:r>
        <w:rPr>
          <w:b/>
        </w:rPr>
        <w:t>E. 2.2</w:t>
      </w:r>
    </w:p>
    <w:p>
      <w:r>
        <w:t>Vorliegend ist über das Alter des Beschuldigten, mithin eine Tatfrage zu entscheiden, die nach dem Gesagten für das später urteilende Gericht nicht verbindlich beantwortet wird. Nach Massgabe des Zivilstandsregisters des Kantons Solothurn ist A. am 1. Januar 1988 geboren. Wie der Ge- suchsgegner richtig ausführt, erbringt dieses öffentliche Register den vollen Beweis für die darin bezeugten Tatsachen, solange nicht die Unrichtigkeit ihres Inhalts nachgewiesen ist (Art. 9 Abs. 1 ZGB). Sowohl das angeordne- te Gutachten, wonach aus rechtsmedizinischer Sicht lediglich nicht ausge- schlossen werden kann, dass A. im Zeitpunkt der ihm vorgeworfenen Straf- taten zwischen Februar und April 2006 jünger als 18 Jahre alt gewesen ist, eine abschliessende Altersschätzung indessen nicht vorgenommen wird (act. 1.2 S. 4), als auch die Aussagen der Eltern des Beschuldigten, wo- nach das Geburtsdatum ihres Adoptivsohnes bei dessen Adoption ge- schätzt worden sei (act. 1.9 und 1.10), sind vage und vermögen daher die</w:t>
      </w:r>
    </w:p>
    <w:p>
      <w:r>
        <w:t>- 5 -</w:t>
      </w:r>
    </w:p>
    <w:p>
      <w:r>
        <w:t>Unrichtigkeit des Inhaltes des Zivilstandsregisters nicht verbindlich nach- zuweisen. Es ist demnach gestützt auf die derzeitige Aktenlage auf das Geburtsdatum im Zivilstandsregister abzustellen. Folglich ist davon auszu- gehen, dass A. im Zeitpunkt der mutmasslich begangenen Straftaten 18 Jahre alt war.</w:t>
      </w:r>
    </w:p>
    <w:p>
      <w:r>
        <w:rPr>
          <w:b/>
        </w:rPr>
        <w:t>E. 3.1</w:t>
      </w:r>
    </w:p>
    <w:p>
      <w:r>
        <w:t>Nach Massgabe von Art. 346 Abs. 1 StGB sind für die Verfolgung und Be- urteilung der strafbaren Handlung Erwachsener die Behörden des Ortes zuständig, wo die strafbare Handlung ausgeführt wurde.</w:t>
      </w:r>
    </w:p>
    <w:p>
      <w:r>
        <w:rPr>
          <w:b/>
        </w:rPr>
        <w:t>E. 3.2</w:t>
      </w:r>
    </w:p>
    <w:p>
      <w:r>
        <w:t>Die mutmasslichen Tatorte liegen unbestrittenermassen auf dem Gebiet des Gesuchstellers, womit er berechtigt und verpflichtet ist, die A. vorge- worfenen Straftaten zu verfolgen und beurteilen.</w:t>
      </w:r>
    </w:p>
    <w:p>
      <w:r>
        <w:rPr>
          <w:b/>
        </w:rPr>
        <w:t>E. 4</w:t>
      </w:r>
    </w:p>
    <w:p>
      <w:r>
        <w:t>Es werden keine Kosten erhoben (Art. 245 BStP i.V.m. Art. 156 Abs. 2 OG).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