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BG.2006.26 vom 10. August 2006</w:t>
      </w:r>
    </w:p>
    <w:p>
      <w:r>
        <w:t>Bundesstrafgericht, 2006-08-10, DE</w:t>
      </w:r>
    </w:p>
    <w:p>
      <w:r>
        <w:rPr>
          <w:b/>
        </w:rPr>
        <w:t xml:space="preserve">Quelle: </w:t>
      </w:r>
      <w:r>
        <w:t>https://mcp.opencaselaw.ch/entscheid/bstger_BG.2006.26</w:t>
      </w:r>
    </w:p>
    <w:p>
      <w:r>
        <w:t>FR: TPF BG.2006.26 du 10 août 2006</w:t>
      </w:r>
    </w:p>
    <w:p>
      <w:r>
        <w:t>IT: TPF BG.2006.26 del 10 agosto 2006</w:t>
      </w:r>
    </w:p>
    <w:p>
      <w:pPr>
        <w:pStyle w:val="Heading2"/>
      </w:pPr>
      <w:r>
        <w:t>Regeste</w:t>
      </w:r>
    </w:p>
    <w:p>
      <w:r>
        <w:t>Bestimmung des Gerichtsstandes i. S. A., B., C., D., E., F., G., H. und I. (Art. 279 Abs. 1 BStP)</w:t>
      </w:r>
    </w:p>
    <w:p>
      <w:pPr>
        <w:pStyle w:val="Heading2"/>
      </w:pPr>
      <w:r>
        <w:t>Erwägungen</w:t>
      </w:r>
    </w:p>
    <w:p>
      <w:r>
        <w:rPr>
          <w:b/>
        </w:rPr>
        <w:t>E. 1.1</w:t>
      </w:r>
    </w:p>
    <w:p>
      <w:r>
        <w:t>Die Zuständigkeit der Beschwerdekammer des Bundesstrafgerichts zum Entscheid über Gerichtsstandsstreitigkeiten ergibt sich aus Art. 351 StGB i.V.m. Art. 279 Abs. 1 BStP und Art. 28 Abs. 1 lit. g SGG. Voraussetzung für die Anrufung der Beschwerdekammer ist allerdings, dass ein Streit über den interkantonalen Gerichtsstand vorliegt und dass hierüber ein Mei- nungsaustausch durchgeführt wurde (SCHWERI/BÄNZIGER, Interkantonale Gerichtsstandsbestimmung in Strafsachen, 2. Aufl., Bern 2004, N. 599). Eine Frist für die Anrufung der Beschwerdekammer besteht für die Behör- den nicht (SCHWERI/BÄNZIGER, a.a.O., N. 623). Die eingangs erwähnten Behörden sind nach ihrer internen Zuständigkeitsordnung berechtigt, bei in- terkantonalen Gerichtsstandskonflikten ihre Kantone vor der Beschwerde- kammer des Bundesstrafgerichts zu vertreten (SCHWERI/BÄNZIGER, a.a.O., Anhang II, S. 213 ff.).</w:t>
      </w:r>
    </w:p>
    <w:p>
      <w:r>
        <w:rPr>
          <w:b/>
        </w:rPr>
        <w:t>E. 1.2</w:t>
      </w:r>
    </w:p>
    <w:p>
      <w:r>
        <w:t>Die Eintretensvoraussetzungen sind vorliegend erfüllt und geben keinen Anlass zu weiteren Bemerkungen. Auf das Gesuch ist somit einzutreten.</w:t>
      </w:r>
    </w:p>
    <w:p>
      <w:r>
        <w:rPr>
          <w:b/>
        </w:rPr>
        <w:t>E. 2</w:t>
      </w:r>
    </w:p>
    <w:p>
      <w:r>
        <w:t>Grundsätzlich ist in einem ersten Schritt der gesetzliche Gerichtsstand zu bestimmen. Angesichts des Ausgangs des Verfahrens kann davon vorlie- gend aber abgesehen werden.</w:t>
      </w:r>
    </w:p>
    <w:p>
      <w:r>
        <w:rPr>
          <w:b/>
        </w:rPr>
        <w:t>E. 2.1</w:t>
      </w:r>
    </w:p>
    <w:p>
      <w:r>
        <w:t>Vom gesetzlichen Gerichtsstand darf nämlich in Anwendung von Art. 262 und 263 BStP ausnahmsweise abgewichen werden, wenn triftige, sich ge- bieterisch aufdrängende Gründe dafür vorliegen und ein örtlicher Anknüp- fungspunkt in demjenigen Kanton gegeben ist, der die Strafverfolgung ü- bernehmen soll (vgl. TPF BG.2005.18+BG.2006.19 vom 26. Juli 2005 E. 2.1, BG.2005.8 vom 18. Mai 2005 E. 3.1 und BK_G 166/04 vom 11. No- vember 2004 E. 3.2; BGE 120 IV 280, 282 E. 2b). Dies kann zum Beispiel dann der Fall sein, wenn in einem Kanton ein offensichtliches Schwerge- wicht der deliktischen Tätigkeit liegt, wobei es allerdings nicht genügt, dass auf einen Kanton einige wenige Delikte mehr als auf einen anderen entfal- len, sondern das Übergewicht muss so offensichtlich und bedeutsam sein, dass sich das Abweichen vom gesetzlichen Gerichtsstand geradezu auf-</w:t>
      </w:r>
    </w:p>
    <w:p>
      <w:r>
        <w:t>- 4 -</w:t>
      </w:r>
    </w:p>
    <w:p>
      <w:r>
        <w:t>drängt. Wenn mehr als zwei Drittel einer grösseren Anzahl von vergleichba- ren Straftaten auf einen einzigen Kanton entfallen, kann in der Regel davon ausgegangen werden, dass in diesem Kanton ein Schwergewicht besteht, welches es rechtfertigt, vom gesetzlichen Gerichtsstand abzuweichen. Bei nur einem Drittel einer grösseren Anzahl von Straftaten, die in einem Kan- ton begangen wurden, dürfte in diesem Kanton demgegenüber regelmässig noch kein hinreichendes Schwergewicht für ein Abweichen vom gesetzli- chen Gerichtsstand vorliegen (vgl. zum Ganzen TPF BG.2006.22 vom 30. Juni 2006 E. 4.1 m.w.H.).</w:t>
      </w:r>
    </w:p>
    <w:p>
      <w:r>
        <w:rPr>
          <w:b/>
        </w:rPr>
        <w:t>E. 3</w:t>
      </w:r>
    </w:p>
    <w:p>
      <w:r>
        <w:t>Vorliegend wird den 9 Beschuldigten vorgeworfen, allein oder in Mittäter- schaft 273 Straftaten im In- und Ausland begangen zu haben. Dabei soll es sich grossmehrheitlich um Einbruchdiebstähle oder entsprechende Versu- che, mithin um vergleichbare Delikte, handeln; eine Prüfung der Einzeltaten kann von der Beschwerdekammer aufgrund der Vielzahl der Delikte nicht verlangt werden, so dass sie es mit dieser summarischen Würdigung der Straftaten bewenden lassen kann. Laut des von den Parteien an sich un- bestrittenen und für den jetzigen Zeitpunkt des Verfahrens massgebenden Tatortverzeichnisses sollen sich von den 273 mutmasslichen Straftaten de- ren 176 auf dem Gebiet des Kantons Bern zugetragen haben (act. 1.33). Auf diese Ausgangslage ist folglich für die Bestimmung des Gerichtsstan- des im jetzigen Zeitpunkt des Verfahrens – und ohne ein späteres Zurück- kommen auf die Gerichtsstandsfrage zufolge wesentlicher Veränderung der Verhältnisse auszuschliessen – abzustellen. Damit steht fest, dass rund zwei Drittel der vergleichbaren Straftaten im Kanton Bern begangen wur- den, womit daselbst ein eindeutiges Schwergewicht auszumachen ist, das ein Abweichen von einem allenfalls anders liegenden gesetzlichen Ge- richtsstand rechtfertigt.</w:t>
      </w:r>
    </w:p>
    <w:p>
      <w:r>
        <w:t>Zu keinem anderen Resultat würde man im Übrigen gelangen, wenn man der vom Gesuchsteller und vom Gesuchsgegner 2 vertretenen Auffassung folgt – die im Übrigen vom Gesuchsgegner 3 nicht ausdrücklich bestritten wird – wonach von den 144 massgeblichen Verbrechen 99 auf den Kanton Bern entfielen (act. 1 S. 5; act. 4 S. 4 f.; act. 5 S. 2).</w:t>
      </w:r>
    </w:p>
    <w:p>
      <w:r>
        <w:t>Somit ist der Gesuchsgegner 3 berechtigt und verpflichtet, die A., B., C., D., E., F., G., H. und I. zur Last gelegten Straftaten zu verfolgen und zu beur- teilen.</w:t>
      </w:r>
    </w:p>
    <w:p>
      <w:r>
        <w:rPr>
          <w:b/>
        </w:rPr>
        <w:t>E. 4</w:t>
      </w:r>
    </w:p>
    <w:p>
      <w:r>
        <w:t>Es werden keine Kosten erhoben (Art. 245 BStP i.V.m. Art. 156 Abs. 2 OG).</w:t>
      </w:r>
    </w:p>
    <w:p>
      <w:r>
        <w:t>- 5 -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