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BG.2006.1 vom 13. Januar 2006</w:t>
      </w:r>
    </w:p>
    <w:p>
      <w:r>
        <w:t>Bundesstrafgericht, 2006-01-13, DE</w:t>
      </w:r>
    </w:p>
    <w:p>
      <w:r>
        <w:rPr>
          <w:b/>
        </w:rPr>
        <w:t xml:space="preserve">Quelle: </w:t>
      </w:r>
      <w:r>
        <w:t>https://mcp.opencaselaw.ch/entscheid/bstger_BG.2006.1</w:t>
      </w:r>
    </w:p>
    <w:p>
      <w:r>
        <w:t>FR: TPF BG.2006.1 du 13 janvier 2006</w:t>
      </w:r>
    </w:p>
    <w:p>
      <w:r>
        <w:t>IT: TPF BG.2006.1 del 13 gennaio 2006</w:t>
      </w:r>
    </w:p>
    <w:p>
      <w:pPr>
        <w:pStyle w:val="Heading2"/>
      </w:pPr>
      <w:r>
        <w:t>Regeste</w:t>
      </w:r>
    </w:p>
    <w:p>
      <w:r>
        <w:t>Bestimmung des Gerichtsstandes i.S. A. (Art. 279 Abs. 1 BStP)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Aufl., Bern 2004, N. 599);</w:t>
      </w:r>
    </w:p>
    <w:p>
      <w:r>
        <w:t>- die Beschwerdekammer vor Abschluss des Meinungsaustausches zwischen sämtlichen, ernstlich in Frage kommenden Kantonen auf ein Gesuch um Be- stimmung des Gerichtsstands nicht eintritt (GUIDON/BÄNZIGER, Alter Wein in neuen Schläuchen? – Die Rechtsprechung des Bundesstrafgerichts zum in- terkantonalen Gerichtsstand in Strafsachen, in: Jusletter 19. Septem- ber 2005, N. 5);</w:t>
      </w:r>
    </w:p>
    <w:p>
      <w:r>
        <w:t>- der Kanton Appenzell Ausserrhoden in seiner Eingabe vom 9. Januar 2006 darlegt, mit dem Kanton Wallis einen Meinungsaustausch durchgeführt zu haben (act. 1);</w:t>
      </w:r>
    </w:p>
    <w:p>
      <w:r>
        <w:t>- der Kanton Appenzell Ausserrhoden aber auch eine Zuständigkeit des Kan- tons Basel-Stadt durchaus für möglich hält (act. 1);</w:t>
      </w:r>
    </w:p>
    <w:p>
      <w:r>
        <w:t>- dem Gesuch überdies zu entnehmen ist, dass angeblich auch Anknüpfungs- punkte in die Kantone Genf und Tessin bestehen (act. 1);</w:t>
      </w:r>
    </w:p>
    <w:p>
      <w:r>
        <w:t>- mit letzteren drei Kantonen bislang kein Meinungsaustausch durchgeführt wurde;</w:t>
      </w:r>
    </w:p>
    <w:p>
      <w:r>
        <w:t>- 3 -</w:t>
      </w:r>
    </w:p>
    <w:p>
      <w:r>
        <w:t>- nach einer summarischen Durchsicht der eingereichten Unterlagen nicht aus- zuschliessen ist, dass ein Gerichtsstand allenfalls noch in weiteren Kantonen oder gar im Ausland ernstlich in Frage kommt;</w:t>
      </w:r>
    </w:p>
    <w:p>
      <w:r>
        <w:t>- es nicht Aufgabe der Beschwerdekammer des Bundesstrafgerichts ist, die dem gesuchstellenden Kanton obliegenden Vorabklärungen zu treffen;</w:t>
      </w:r>
    </w:p>
    <w:p>
      <w:r>
        <w:t>- somit auf das Gesuch mangels vollständig durchgeführten Meinungsaustau- sches nicht eingetreten wird, und sich dieses nach dem Gesagten sofort als unzulässig im Sinne von Art. 219 Abs. 1 BStP erweist;</w:t>
      </w:r>
    </w:p>
    <w:p>
      <w:r>
        <w:t>- in Abweichung von Art. 156 Abs. 2 OG gemäss Praxis einem Kanton die Kos- ten überbunden werden können, wenn er es pflichtwidrig unterlassen hat, die für die verlangte Gerichtsstandsentscheidung erforderlichen tatsächlichen und rechtlichen Voraussetzungen zu schaffen (SCHWERI/BÄNZIGER, a.a.O., N. 649 f.; vgl. den Entscheid des Bundesstrafgerichts BG.2005.31 vom 9. Ja- nuar 2006);</w:t>
      </w:r>
    </w:p>
    <w:p>
      <w:r>
        <w:t>- es dem Kanton Appenzell Ausserrhoden als verfahrensabtretenden Kanton obgelegen hätte, mit sämtlichen ernstlich in Frage kommenden Kantonen ei- nen Meinungsaustausch durchzuführen (SCHWERI/BÄNZIGER, a.a.O., N. 562);</w:t>
      </w:r>
    </w:p>
    <w:p>
      <w:r>
        <w:t>- er dieser Pflicht nicht nachgekommen ist und es damit unterlassen hat, die für die Beschwerdekammer notwendigen Entscheidgrundlagen zu schaffen, weshalb ihm die Gerichtsgebühr in der Höhe von Fr. 300.-- aufzuerlegen ist (Art. 3 des Reglements vom 11. Februar 2004 über die Gerichtsgebühren vor dem Bundesstrafgericht; SR 173.711.32);</w:t>
      </w:r>
    </w:p>
    <w:p>
      <w:r>
        <w:t>- das Vorgehen in Gerichtsstandsangelegenheiten sowohl der zwischenzeitlich reichhaltigen Praxis der Beschwerdekammer des Bundesstrafgerichts (http://www.bstger.ch/informationen/entscheide) als auch der einschlägigen Literatur (vgl. hierzu beispielsweise GUIDON/BÄNZIGER, a.a.O.; SCHWE- RI/BÄNZIGER, a.a.O.) entnommen werden kann.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