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BG.2005.31 vom 9. Januar 2006</w:t>
      </w:r>
    </w:p>
    <w:p>
      <w:r>
        <w:t>Bundesstrafgericht, 2006-01-09, DE</w:t>
      </w:r>
    </w:p>
    <w:p>
      <w:r>
        <w:rPr>
          <w:b/>
        </w:rPr>
        <w:t xml:space="preserve">Quelle: </w:t>
      </w:r>
      <w:r>
        <w:t>https://mcp.opencaselaw.ch/entscheid/bstger_BG.2005.31</w:t>
      </w:r>
    </w:p>
    <w:p>
      <w:r>
        <w:t>FR: TPF BG.2005.31 du 9 janvier 2006</w:t>
      </w:r>
    </w:p>
    <w:p>
      <w:r>
        <w:t>IT: TPF BG.2005.31 del 9 gennaio 2006</w:t>
      </w:r>
    </w:p>
    <w:p>
      <w:pPr>
        <w:pStyle w:val="Heading2"/>
      </w:pPr>
      <w:r>
        <w:t>Regeste</w:t>
      </w:r>
    </w:p>
    <w:p>
      <w:r>
        <w:t>Bestimmung des Gerichtsstands i.S. A. und evt. weitere Personen (Art. 279 Abs. 1 BStP)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Aufl., Bern 2004, N. 599);</w:t>
      </w:r>
    </w:p>
    <w:p>
      <w:r>
        <w:t>- die Beschwerdekammer vor Abschluss des Meinungsaustausches zwischen sämtlichen, ernstlich in Frage kommenden Kantonen auf ein Gesuch um Be- stimmung des Gerichtsstands nicht eintritt (GUIDON/BÄNZIGER, Alter Wein in neuen Schläuchen? – Die Rechtsprechung des Bundesstrafgerichts zum in- terkantonalen Gerichtsstand in Strafsachen, in: Jusletter 19. Septem- ber 2005, N. 5);</w:t>
      </w:r>
    </w:p>
    <w:p>
      <w:r>
        <w:t>- der Gesuchsteller in seiner Eingabe vom 2. Dezember 2005 ausführt, grund- sätzlich kämen die Gerichtsstände der Kantone Zürich, Aargau und Zug in Frage (act. 1, S. 4), womit selbst aus Sicht des Gesuchstellers die Zuständig- keit des Kantons Aargau ernstlich denkbar ist;</w:t>
      </w:r>
    </w:p>
    <w:p>
      <w:r>
        <w:t>- mit dem Kanton Aargau bislang kein Meinungsaustausch durchgeführt wurde;</w:t>
      </w:r>
    </w:p>
    <w:p>
      <w:r>
        <w:t>- auf das Gesuch folglich mangels vollständig durchgeführten Meinungsaus- tausches nicht eingetreten wird;</w:t>
      </w:r>
    </w:p>
    <w:p>
      <w:r>
        <w:t>- 3 -</w:t>
      </w:r>
    </w:p>
    <w:p>
      <w:r>
        <w:t>- in Abweichung von Art. 156 Abs. 2 OG gemäss Praxis einem Kanton die Kos- ten überbunden werden können, wenn er es pflichtwidrig unterlassen hat, die für die verlangte Gerichtsstandsentscheidung erforderlichen tatsächlichen und rechtlichen Voraussetzungen zu schaffen (SCHWERI/BÄNZIGER, a.a.O., N. 649 f.);</w:t>
      </w:r>
    </w:p>
    <w:p>
      <w:r>
        <w:t>- es dem Gesuchsteller – der nach Massgabe der einschlägigen Lehre und ständigen Rechtsprechung die Untersuchung in der Sache unverkennbar an- gehoben hat (SCHWERI/BÄNZIGER, a.a.O., N. 141 ff. m.w.H.; Entscheid des Bundesstrafgerichts BK_G 166/04 vom 11. November 2004 E. 2.2) – als ver- fahrensabtretender Kanton obgelegen hätte, mit sämtlichen ernsthaft in Frage kommenden Kantonen einen Meinungsaustausch durchzuführen (SCHWE- RI/BÄNZIGER, a.a.O., N. 562);</w:t>
      </w:r>
    </w:p>
    <w:p>
      <w:r>
        <w:t>- er dieser Pflicht nicht nachgekommen ist, und es damit unterlassen hat, die für die Beschwerdekammer notwendigen Entscheidgrundlagen zu schaffen, weshalb ihm die Gerichtsgebühr in der Höhe von Fr. 300.-- aufzuerlegen ist (Art. 3 des Reglements vom 11. Februar 2004 über die Gerichtsgebühren vor dem Bundesstrafgericht; SR 173.711.32).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