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BG.2005.29 vom 13. Dezember 2005</w:t>
      </w:r>
    </w:p>
    <w:p>
      <w:r>
        <w:t>Bundesstrafgericht, 2005-12-13, DE</w:t>
      </w:r>
    </w:p>
    <w:p>
      <w:r>
        <w:rPr>
          <w:b/>
        </w:rPr>
        <w:t xml:space="preserve">Quelle: </w:t>
      </w:r>
      <w:r>
        <w:t>https://mcp.opencaselaw.ch/entscheid/bstger_BG.2005.29</w:t>
      </w:r>
    </w:p>
    <w:p>
      <w:r>
        <w:t>FR: TPF BG.2005.29 du 13 décembre 2005</w:t>
      </w:r>
    </w:p>
    <w:p>
      <w:r>
        <w:t>IT: TPF BG.2005.29 del 13 dicembre 2005</w:t>
      </w:r>
    </w:p>
    <w:p>
      <w:pPr>
        <w:pStyle w:val="Heading2"/>
      </w:pPr>
      <w:r>
        <w:t>Regeste</w:t>
      </w:r>
    </w:p>
    <w:p>
      <w:r>
        <w:t>Bestimmung des Gerichtsstandes i.S. A. (Art. 351 StGB)</w:t>
      </w:r>
    </w:p>
    <w:p>
      <w:pPr>
        <w:pStyle w:val="Heading2"/>
      </w:pPr>
      <w:r>
        <w:t>Erwägungen</w:t>
      </w:r>
    </w:p>
    <w:p>
      <w:r>
        <w:rPr>
          <w:b/>
        </w:rPr>
        <w:t>E. 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Das Untersuchungsrichteramt des Kantons</w:t>
      </w:r>
    </w:p>
    <w:p>
      <w:r>
        <w:t>- 4 -</w:t>
      </w:r>
    </w:p>
    <w:p>
      <w:r>
        <w:t>Zug und die Staatsanwaltschaft des Kantons Luzern sind nach ihrer kan- tonsinternen Zuständigkeitsordnung berechtigt, bei interkantonalen Ge- richtsstandskonflikten ihre Kantone vor der Beschwerdekammer des Bun- desstrafgerichts zu vertreten (SCHWERI/BÄNZIGER, a.a.O., S. 214 f., An- hang II). Auf das Gesuch ist folglich einzutreten.</w:t>
      </w:r>
    </w:p>
    <w:p>
      <w:r>
        <w:rPr>
          <w:b/>
        </w:rPr>
        <w:t>E. 2</w:t>
      </w:r>
    </w:p>
    <w:p>
      <w:r>
        <w:t>Für die Verfolgung und Beurteilung einer strafbaren Handlung sind die Be- hörden des Ortes zuständig, wo die strafbare Handlung ausgeführt wurde. Ist die strafbare Handlung an mehreren Orten ausgeführt worden, oder ist der Erfolg an mehreren Orten eingetreten, so sind die Behörden des Ortes zuständig, wo die Untersuchung zuerst angehoben wurde (Art. 346 StGB).</w:t>
      </w:r>
    </w:p>
    <w:p>
      <w:r>
        <w:rPr>
          <w:b/>
        </w:rPr>
        <w:t>E. 2.1</w:t>
      </w:r>
    </w:p>
    <w:p>
      <w:r>
        <w:t>Die unrechtmässige Erwirkung von Versicherungsleistungen durch unwah- re oder unvollständige Angaben im Sinne von Art. 105 Abs. 1 AVIG bzw. der Tatbestand des Betrugs im Sinne von Art. 146 Abs. 1 StGB sind Er- folgsdelikte, gelten demnach sowohl dort begangen, wo der Täter handelt, als auch dort, wo der Erfolg eintritt. Für die Bestimmung des Gerichtsstan- des gilt in solchen Fällen, dass der Ausführungsort dem Erfolgsort vorgeht und für die Gerichtsstandsbestimmung allein massgebend ist (SCHWE- RI/BÄNZIGER, a.a.O., N. 60 f. und N. 76). Als Ausführungsort gilt diejenige Örtlichkeit, an der die Tathandlung erfolgte. Beim Betrug im Sinne von Art. 146 StGB bildet die Irreführung die Tathandlung, der Irrtum ist ein ers- ter Zwischenerfolg der Täuschung, ein zweiter Zwischenerfolg ist alsdann die unmittelbare Vermögensverfügung (vgl. ARZT, Basler Kommentar, Ba- sel 2003, N. 72 und 77 zu Art. 146 StGB). Beim Tatbestand des Art. 105 Abs. 1 AVIG stellt die Vornahme unwahrer oder unvollständiger Angaben die Tathandlung dar, während in der Ausrichtung der Versicherungsleistung der Erfolg zu sehen ist. Welcher dieser beiden Tatbestände dabei im Vor- dergrund steht, kann hier offen bleiben. Unbestritten ist nämlich, dass der mutmassliche Begehungsort im Kanton Luzern liegt, da der Antrag auf Ar- beitslosenentschädigung in Kriens gestellt bzw. unterzeichnet wurde und Adressat desselben das Arbeitsamt bzw. die Arbeitslosenkasse des Kan- tons Luzern war. Selbst die fingierte Lohnabrechnung für das Jahr 1998, auf deren Grundlage der Antrag auf Arbeitslosenentschädigung gestellt wurde, wurde in Kriens unterzeichnet (Ordner I, Fasz. 1, act. 29 S. 4). Der gesetzliche Gerichtsstand liegt demnach im Kanton Luzern (Art. 346 StGB).</w:t>
      </w:r>
    </w:p>
    <w:p>
      <w:r>
        <w:rPr>
          <w:b/>
        </w:rPr>
        <w:t>E. 2.2</w:t>
      </w:r>
    </w:p>
    <w:p>
      <w:r>
        <w:t>Der Gesuchsgegner bringt unter Hinweis auf Rechtsprechung und Lehre vor, in der lang andauernden Untätigkeit der zugerischen Strafverfolgungs- behörden sei eine konkludente Anerkennung des Gerichtsstandes zu erbli- cken; diese hätten die Frage ihrer Zuständigkeit längst klären können.</w:t>
      </w:r>
    </w:p>
    <w:p>
      <w:r>
        <w:t>- 5 -</w:t>
      </w:r>
    </w:p>
    <w:p>
      <w:r>
        <w:t>Geht in einem Kanton eine Strafanzeige ein, so haben die Strafverfol- gungsbehörden von Amtes wegen zu prüfen, ob nach den gesetzlichen Ge- richtsstandsregeln ihre örtliche Zuständigkeit und damit die Gerichtsbarkeit ihres Kantons gegeben ist; diese Prüfung soll summarisch und beschleu- nigt erfolgen, um unnötige Verzögerungen des Untersuchungsverfahrens zu vermeiden. Damit diese Prüfung zuverlässig erfolgen kann, hat die mit der Sache befasste Behörde alle für die Festlegung des Gerichtsstandes wesentlichen Tatsachen zu erforschen und alle dazu notwendigen Erhe- bungen durchzuführen; insbesondere ist in diesem Zusammenhang der Ausführungsort zu ermitteln. Hat ein Beschuldigter in mehreren Kantonen strafbare Handlungen verübt, so hat jeder Kanton vorerst die Ermittlungen voranzutreiben, soweit diese für die Bestimmung des Gerichtsstandes we- sentlich sind; er hat dabei in erster Linie jene Abklärungen zu treffen, die auf seinem Kantonsgebiet vorzunehmen sind. Beschränkt sich ein Kanton nicht darauf, sondern nimmt er während verhältnismässig langer Zeit weite- re Ermittlungen vor, obschon längst Anlass bestanden hätte, die eigene Zuständigkeit abzuklären, so liegt darin eine konkludente Anerkennung des Gerichtsstandes. Auch durch eine solche können die Kantone vom gesetz- lichen Gerichtsstand abweichen (BGE 119 IV 102, 104 E. 4a und b; SCHWERI/BÄNZIGER, a.a.O., N. 443).</w:t>
      </w:r>
    </w:p>
    <w:p>
      <w:r>
        <w:t>Diese Voraussetzungen sind im vorliegenden Fall erfüllt. Die beim Ge- suchsteller eingegangene Strafanzeige betreffend Widerhandlungen gegen das AVIG durch die B. AG im Zusammenhang mit A.s Antrag auf Versiche- rungsleistungen datiert vom 17. August 2000. Erste eingehendere Abklä- rungen hinsichtlich des Begehungsortes hätten an sich bereits im Nach- gang zur rechtshilfeweisen Befragung der Verwaltungsrätin dieser Gesell- schaft vom 25. Oktober 2000 an die Hand genommen werden können, er- klärte doch diese, A. sei am 1. Februar 1999 mit einer Jahreslohnabrech- nung zu ihr gekommen und habe von ihr verlangt, diese zu unterschreiben (Ordner I, Fasz. 1, act. 9). Eine dahingehende Klärung nahm der Ge- suchsteller indes erst in der Befragung am 8. September 2005 vor (Ordner I, Fasz. 1, act. 29). Am 27. November 2001 sistierte der Gesuchsteller das Untersuchungsverfahren gegen A. infolge unbekannten Aufenthalts, nach- dem sich ergeben hatte, dass dieser am 30. Juni 2000 vom letzten bekann- ten Aufenthaltsort weggezogen war (Ordner I, Fasz. 1, act. 25). Bereits vor diesem Zeitpunkt hätte der Gesuchsteller auf Grund der vorläufigen Sach- verhaltsannahme die Akten dem Gesuchsgegner als mutmasslichem Tat- ortkanton zustellen bzw. diesen um Übernahme des Verfahrens ersuchen müssen; statt dessen nahm er selber die Ausschreibung vor, als er von A.s unbekanntem Aufenthalt erfuhr. Nach Eingang der Mitteilung betreffend die</w:t>
      </w:r>
    </w:p>
    <w:p>
      <w:r>
        <w:t>- 6 -</w:t>
      </w:r>
    </w:p>
    <w:p>
      <w:r>
        <w:t>Einreise und Verhaftung A.s Ende August 2004 verstrich sodann ein Jahr, bis der Gesuchsteller die Untersuchung fortsetzte bzw. wieder aufnahm, obwohl eine umgehende summarische Prüfung der Gerichtsstandsfrage ohne weiteres möglich gewesen wäre. Gleichzeitig mit der Gerichtsstands- anfrage an den Gesuchsgegner nahm der Gesuchsteller sodann umfas- sende Sachverhaltsabklärungen vor.</w:t>
      </w:r>
    </w:p>
    <w:p>
      <w:r>
        <w:t>In der unterbliebenen Gerichtsstandsanfrage an den Gesuchsgegner nach Eingang der Meldung der Kantonspolizei Zürich vom 31. August 2004, der anschliessenden längeren Untätigkeit und schliesslich dem materiellen Vorantreiben der Untersuchung, welche klar über die Abklärung des Tator- tes hinausging, liegt eine konkludente Anerkennung des Gerichtsstandes.</w:t>
      </w:r>
    </w:p>
    <w:p>
      <w:r>
        <w:rPr>
          <w:b/>
        </w:rPr>
        <w:t>E. 3</w:t>
      </w:r>
    </w:p>
    <w:p>
      <w:r>
        <w:t>Nach dem Gesagten ist die Zuständigkeit der Behörden des Gesuchstellers zur Verfolgung und Beurteilung von A. zu bejahen und diese sind hierzu berechtigt und verpflichtet zu erklären.</w:t>
      </w:r>
    </w:p>
    <w:p>
      <w:r>
        <w:rPr>
          <w:b/>
        </w:rPr>
        <w:t>E. 4</w:t>
      </w:r>
    </w:p>
    <w:p>
      <w:r>
        <w:t>Es sind keine Kosten zu erheben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