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BG.2005.19 vom 26. Juli 2005</w:t>
      </w:r>
    </w:p>
    <w:p>
      <w:r>
        <w:t>Bundesstrafgericht, 2005-07-26, DE</w:t>
      </w:r>
    </w:p>
    <w:p>
      <w:r>
        <w:rPr>
          <w:b/>
        </w:rPr>
        <w:t xml:space="preserve">Quelle: </w:t>
      </w:r>
      <w:r>
        <w:t>https://mcp.opencaselaw.ch/entscheid/bstger_BG.2005.19</w:t>
      </w:r>
    </w:p>
    <w:p>
      <w:r>
        <w:t>FR: TPF BG.2005.19 du 26 juillet 2005</w:t>
      </w:r>
    </w:p>
    <w:p>
      <w:r>
        <w:t>IT: TPF BG.2005.19 del 26 luglio 2005</w:t>
      </w:r>
    </w:p>
    <w:p>
      <w:pPr>
        <w:pStyle w:val="Heading2"/>
      </w:pPr>
      <w:r>
        <w:t>Regeste</w:t>
      </w:r>
    </w:p>
    <w:p>
      <w:r>
        <w:t>Bestimmung des Gerichtsstandes i. S. A. und B. (Art. 262 und 263 BStP)</w:t>
      </w:r>
    </w:p>
    <w:p>
      <w:pPr>
        <w:pStyle w:val="Heading2"/>
      </w:pPr>
      <w:r>
        <w:t>Erwägungen</w:t>
      </w:r>
    </w:p>
    <w:p>
      <w:r>
        <w:rPr>
          <w:b/>
        </w:rPr>
        <w:t>E. 1.1</w:t>
      </w:r>
    </w:p>
    <w:p>
      <w:r>
        <w:t>Die Zuständigkeit der Beschwerdekammer des Bundesstrafgerichts zum Entscheid in Verfahren betreffend Gerichtsstandsstreitigkeiten ergibt sich aus Art. 351 StGB i.V.m. Art. 279 Abs. 1 BStP und Art. 28 Abs. 1 lit. g SGG.</w:t>
      </w:r>
    </w:p>
    <w:p>
      <w:r>
        <w:rPr>
          <w:b/>
        </w:rPr>
        <w:t>E. 1.2</w:t>
      </w:r>
    </w:p>
    <w:p>
      <w:r>
        <w:t>Die Staatsanwaltschaften der Kantone Thurgau und St. Gallen sind nach ihrer kantonsinternen Zuständigkeitsordnung berechtigt, bei interkantonalen Gerichtsstandskonflikten ihre Kantone nach aussen zu vertreten (SCHWE- RI/BÄNZIGER, Interkantonale Gerichtsstandsbestimmung in Strafsachen,</w:t>
      </w:r>
    </w:p>
    <w:p>
      <w:r>
        <w:rPr>
          <w:b/>
        </w:rPr>
        <w:t>E. 1.3</w:t>
      </w:r>
    </w:p>
    <w:p>
      <w:r>
        <w:t>Da in den Verfahren BG.2005.18 und BG.2005.19 materiell die identische Fragestellung besteht, sind diese mit dem vorliegenden Entscheid zu ver- einigen.</w:t>
      </w:r>
    </w:p>
    <w:p>
      <w:r>
        <w:rPr>
          <w:b/>
        </w:rPr>
        <w:t>E. 2</w:t>
      </w:r>
    </w:p>
    <w:p>
      <w:r>
        <w:t>Aufl., Bern 2004, S. 213 f., Anhang II). Der zwischen den Parteien ge- führte Meinungsaustausch führte zu keiner Einigung (SCHWERI/BÄNZIGER, a.a.O., N. 599). Eine Frist für die Anrufung der Beschwerdekammer besteht für die Kantone im vorliegenden Fall nicht (SCHWERI/BÄNZIGER, a.a.O., N. 623). Die Vorbringen des Gesuchstellers zur Sache und der Aktenstand sind ausreichend, um den Gerichtsstand für die Strafverfolgung gegen die Beschuldigten zu bestimmen. Auf die Gesuche ist demnach einzutreten.</w:t>
      </w:r>
    </w:p>
    <w:p>
      <w:r>
        <w:rPr>
          <w:b/>
        </w:rPr>
        <w:t>E. 2.1</w:t>
      </w:r>
    </w:p>
    <w:p>
      <w:r>
        <w:t>Nach Massgabe von Art. 346 Abs. 1 StGB sind für die Verfolgung und Be- urteilung einer strafbaren Handlung die Behörden des Ortes zuständig, wo die strafbare Handlung ausgeführt wurde. Vom gesetzlichen Gerichtsstand darf in Anwendung von Art. 262 und 263 BStP nur ausnahmsweise abge- wichen werden, wenn triftige, sich gebieterisch aufdrängende Gründe dafür vorliegen und ein örtlicher Anknüpfungspunkt in demjenigen Kanton gege- ben ist, der die Strafverfolgung übernehmen soll (vgl. Entscheid des Bun- desstrafgerichts BK_G 166/04 vom 11. November 2004 E. 3.2; Entscheid des Bundesstrafgerichts BG.2005.8 vom 18. Mai 2005 E. 3.1; BGE 120 IV 280, 282 E. 2b). In diesem Zusammenhang ist darauf hinzuweisen, dass der Wohnsitz im Strafverfahren keinen Anknüpfungspunkt für die Bestim- mung des Gerichtsstands begründet (vgl. Entscheid des Bundesstrafge- richts BG.2004.16 vom 11. November 2004 E. 3.2). Bei Vorliegen der er- wähnten Voraussetzungen können namentlich Zweckmässigkeitsüberle- gungen und prozessökonomische Gründe ein Abweichen vom gesetzlichen Gerichtsstand rechtfertigen. Ebenso kann der Gerichtsstand durch eine</w:t>
      </w:r>
    </w:p>
    <w:p>
      <w:r>
        <w:t>- 5 -</w:t>
      </w:r>
    </w:p>
    <w:p>
      <w:r>
        <w:t>Vereinbarung unter den Kantonen anders als nach den Regeln des Straf- gesetzbuches bestimmt werden (SCHWERI/BÄNZIGER, a.a.O., N. 428 ff. und 437; BGE 121 IV 224, 227 E. 3a m.w.H.). Ein Kanton, der sich um die Ab- klärung der Zuständigkeit bemüht, darf allerdings bei der Festsetzung des Gerichtsstandes nicht benachteiligt werden. Auch darf die vorläufige Verei- nigung der Untersuchung in der Hand einer Behörde nicht leichthin als An- erkennung der Zuständigkeit ausgelegt werden; selbst wenn die Behörde bei der Ermittlung der Tatsachen, die für die Festlegung des Gerichtsstan- des von Bedeutung sind, verhältnismässig viel Zeit beansprucht oder im In- teresse der raschen Abwicklung des Strafverfahrens darüber hinausgeht, darf ihr das nicht zum Nachteil gereichen (SCHWERI/BÄNZIGER, a.a.O., N. 443; BGE 94 IV 44, 46 f.; 96 IV 91, 94 E. 1).</w:t>
      </w:r>
    </w:p>
    <w:p>
      <w:r>
        <w:rPr>
          <w:b/>
        </w:rPr>
        <w:t>E. 2.2</w:t>
      </w:r>
    </w:p>
    <w:p>
      <w:r>
        <w:t>Vorliegend sind sich die Parteien zu Recht einig, dass die mutmasslichen Delikte grossmehrheitlich auf Gebiet des Gesuchsgegners begangen wur- den (BG.2005.18 act. 1 S. 3, act. 3 S. 4; BG.2005.19 act. 1 S. 3, act. 3 S. 4). Damit steht fest, dass sich der gesetzliche Gerichtsstand auf dem Gebiet des Gesuchsgegners befindet. Der in diesem Zusammenhang vor- gebrachte Einwand des Gesuchgegners, Sachbeweise und konkrete An- haltspunkte für deliktisches Verhalten fehlten, kann insbesondere in diesem Stadium des Verfahrens nicht gehört werden, zumal einerseits durchaus ernstzunehmende Hinweise für ein strafbares Verhalten bestehen, und an- dererseits es gerade Aufgabe der Strafverfolgungsbehörde ist, den vorge- brachten Sachverhalt durch konkrete Vorkehren abzuklären.</w:t>
      </w:r>
    </w:p>
    <w:p>
      <w:r>
        <w:t>Es stellt sich alsdann die Frage, ob ein örtlicher Anknüpfungspunkt zum Gesuchsteller auszumachen ist, was nach dem sub 2.1 hiervor Gesagten unabdingbare Voraussetzung für die Abweichung vom gesetzlichen Ge- richtsstand bildet. Dies ist zu verneinen, da einzige Bezugspunkte zum Ge- suchsteller der derzeitige Wohnort der Opfer der mutmasslichen Straftaten sowie der Anzeigeort sind, die aber nicht als zuständigkeitsbegründende Anknüpfungspunkte zu gelten vermögen. Vor diesem Hintergrund kann die Frage offen bleiben, ob und inwiefern der Gesuchsteller durch Vornahme von Ermittlungshandlungen den Anschein seiner Zuständigkeit erweckt hat, denn eine Anerkennung der Zuständigkeit ist mangels Vorliegens eines ört- lichen Anknüpfungspunkts unmöglich. Anzumerken ist in diesem Zusam- menhang auch, dass die relativ umfangreichen Aktivitäten des Gesuchstel- lers, die teils wohl über die Abklärung der Gerichtsstandsfrage hinaus gin- gen, ihm trotzdem nicht per se zum Nachteil gereichen dürften.</w:t>
      </w:r>
    </w:p>
    <w:p>
      <w:r>
        <w:t>- 6 -</w:t>
      </w:r>
    </w:p>
    <w:p>
      <w:r>
        <w:t>Nach dem Gesagten ist der Gesuchsgegner für berechtigt und verpflichtet zu erklären, die A. und B. vorgeworfenen Straftaten zu verfolgen und zu beurteilen.</w:t>
      </w:r>
    </w:p>
    <w:p>
      <w:r>
        <w:rPr>
          <w:b/>
        </w:rPr>
        <w:t>E. 2.3</w:t>
      </w:r>
    </w:p>
    <w:p>
      <w:r>
        <w:t>Dem Begehren des Gesuchstellers, der Gesuchsgegner sei zudem für be- rechtigt und verpflichtet zu erklären, eine Strafuntersuchung gegen andere von E. und D. beschuldigte Personen durchzuführen und zum Abschluss zu bringen, kann nicht entsprochen werden, da sich daraus weder Anhalts- punkte auf die Identität der eventuellen Täter und deren Rolle in der Ange- legenheit, noch auf die vermeintlichen Straftaten ergeben und eine derarti- ge Pauschalisierung dem Einzelfall nicht gerecht wird. Es ist aber klar, dass grundsätzlich die Strafverfolgung und Beurteilung derselben Angelegenheit durch dieselbe Behörde als sinnvoll und geboten erscheint.</w:t>
      </w:r>
    </w:p>
    <w:p>
      <w:r>
        <w:rPr>
          <w:b/>
        </w:rPr>
        <w:t>E. 3</w:t>
      </w:r>
    </w:p>
    <w:p>
      <w:r>
        <w:t>Es werden keine Kosten erhoben (Art. 245 BStP i.V.m. Art. 156 Abs. 2 OG).</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